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173" w:rsidRDefault="00A61F1D" w:rsidP="00510173">
      <w:pPr>
        <w:pBdr>
          <w:top w:val="single" w:sz="8" w:space="1" w:color="00B050"/>
          <w:left w:val="single" w:sz="8" w:space="4" w:color="00B050"/>
          <w:bottom w:val="single" w:sz="8" w:space="1" w:color="00B050"/>
          <w:right w:val="single" w:sz="8" w:space="4" w:color="00B050"/>
        </w:pBdr>
        <w:spacing w:before="120" w:after="120" w:line="240" w:lineRule="auto"/>
        <w:jc w:val="center"/>
        <w:rPr>
          <w:rFonts w:cstheme="minorHAnsi"/>
          <w:b/>
          <w:color w:val="00B050"/>
          <w:sz w:val="40"/>
          <w:szCs w:val="40"/>
        </w:rPr>
      </w:pPr>
      <w:r>
        <w:rPr>
          <w:rFonts w:cstheme="minorHAnsi"/>
          <w:b/>
          <w:color w:val="00B050"/>
          <w:sz w:val="40"/>
          <w:szCs w:val="40"/>
        </w:rPr>
        <w:t xml:space="preserve">IL </w:t>
      </w:r>
      <w:r w:rsidR="00ED4E15" w:rsidRPr="00972651">
        <w:rPr>
          <w:rFonts w:cstheme="minorHAnsi"/>
          <w:b/>
          <w:color w:val="00B050"/>
          <w:sz w:val="40"/>
          <w:szCs w:val="40"/>
        </w:rPr>
        <w:t>COMMERCIO ESTERO AGROALIMENTARE</w:t>
      </w:r>
      <w:r w:rsidR="006E3E72">
        <w:rPr>
          <w:rFonts w:cstheme="minorHAnsi"/>
          <w:b/>
          <w:color w:val="00B050"/>
          <w:sz w:val="40"/>
          <w:szCs w:val="40"/>
        </w:rPr>
        <w:t xml:space="preserve"> </w:t>
      </w:r>
    </w:p>
    <w:p w:rsidR="00ED4E15" w:rsidRPr="006E3E72" w:rsidRDefault="006E3E72" w:rsidP="00510173">
      <w:pPr>
        <w:pBdr>
          <w:top w:val="single" w:sz="8" w:space="1" w:color="00B050"/>
          <w:left w:val="single" w:sz="8" w:space="4" w:color="00B050"/>
          <w:bottom w:val="single" w:sz="8" w:space="1" w:color="00B050"/>
          <w:right w:val="single" w:sz="8" w:space="4" w:color="00B050"/>
        </w:pBdr>
        <w:spacing w:before="120" w:after="120" w:line="240" w:lineRule="auto"/>
        <w:jc w:val="center"/>
        <w:rPr>
          <w:rFonts w:cstheme="minorHAnsi"/>
          <w:b/>
          <w:color w:val="00B050"/>
          <w:sz w:val="40"/>
          <w:szCs w:val="40"/>
        </w:rPr>
      </w:pPr>
      <w:r>
        <w:rPr>
          <w:rFonts w:cstheme="minorHAnsi"/>
          <w:b/>
          <w:color w:val="00B050"/>
          <w:sz w:val="40"/>
          <w:szCs w:val="40"/>
        </w:rPr>
        <w:t>(</w:t>
      </w:r>
      <w:r w:rsidR="002A1890">
        <w:rPr>
          <w:rFonts w:cstheme="minorHAnsi"/>
          <w:b/>
          <w:color w:val="00B050"/>
          <w:sz w:val="40"/>
          <w:szCs w:val="40"/>
        </w:rPr>
        <w:t>gennaio 2019</w:t>
      </w:r>
      <w:r>
        <w:rPr>
          <w:rFonts w:cstheme="minorHAnsi"/>
          <w:b/>
          <w:color w:val="00B050"/>
          <w:sz w:val="40"/>
          <w:szCs w:val="40"/>
        </w:rPr>
        <w:t>)</w:t>
      </w:r>
    </w:p>
    <w:p w:rsidR="00ED4E15" w:rsidRDefault="00ED4E15" w:rsidP="00E579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7976" w:rsidRDefault="00041426" w:rsidP="00ED4E1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gennaio 2019</w:t>
      </w:r>
      <w:r w:rsidR="00A10C81">
        <w:rPr>
          <w:rFonts w:ascii="Arial" w:hAnsi="Arial" w:cs="Arial"/>
          <w:sz w:val="24"/>
          <w:szCs w:val="24"/>
        </w:rPr>
        <w:t>, il deficit</w:t>
      </w:r>
      <w:r w:rsidR="00B15749">
        <w:rPr>
          <w:rFonts w:ascii="Arial" w:hAnsi="Arial" w:cs="Arial"/>
          <w:sz w:val="24"/>
          <w:szCs w:val="24"/>
        </w:rPr>
        <w:t xml:space="preserve"> della</w:t>
      </w:r>
      <w:r w:rsidR="00E57976" w:rsidRPr="00B578BD">
        <w:rPr>
          <w:rFonts w:ascii="Arial" w:hAnsi="Arial" w:cs="Arial"/>
          <w:sz w:val="24"/>
          <w:szCs w:val="24"/>
        </w:rPr>
        <w:t xml:space="preserve"> </w:t>
      </w:r>
      <w:r w:rsidR="00E57976" w:rsidRPr="00B578BD">
        <w:rPr>
          <w:rFonts w:ascii="Arial" w:hAnsi="Arial" w:cs="Arial"/>
          <w:sz w:val="24"/>
          <w:szCs w:val="24"/>
          <w:u w:val="single"/>
        </w:rPr>
        <w:t>bilancia commerciale agroalimentare</w:t>
      </w:r>
      <w:r w:rsidR="00E57976" w:rsidRPr="00B578BD">
        <w:rPr>
          <w:rFonts w:ascii="Arial" w:hAnsi="Arial" w:cs="Arial"/>
          <w:sz w:val="24"/>
          <w:szCs w:val="24"/>
        </w:rPr>
        <w:t xml:space="preserve"> italiana</w:t>
      </w:r>
      <w:r w:rsidR="002605E9" w:rsidRPr="00B578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è stato pari ai</w:t>
      </w:r>
      <w:r w:rsidR="004771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438 milioni</w:t>
      </w:r>
      <w:r w:rsidR="00816185">
        <w:rPr>
          <w:rFonts w:ascii="Arial" w:hAnsi="Arial" w:cs="Arial"/>
          <w:sz w:val="24"/>
          <w:szCs w:val="24"/>
        </w:rPr>
        <w:t xml:space="preserve"> di euro</w:t>
      </w:r>
      <w:r w:rsidR="002605E9" w:rsidRPr="00B578BD">
        <w:rPr>
          <w:rFonts w:ascii="Arial" w:hAnsi="Arial" w:cs="Arial"/>
          <w:sz w:val="24"/>
          <w:szCs w:val="24"/>
        </w:rPr>
        <w:t>.</w:t>
      </w:r>
      <w:r w:rsidR="00E57976" w:rsidRPr="00B578BD">
        <w:rPr>
          <w:rFonts w:ascii="Arial" w:hAnsi="Arial" w:cs="Arial"/>
          <w:sz w:val="24"/>
          <w:szCs w:val="24"/>
        </w:rPr>
        <w:t xml:space="preserve"> </w:t>
      </w:r>
      <w:r w:rsidR="00514B2C" w:rsidRPr="00B578BD">
        <w:rPr>
          <w:rFonts w:ascii="Arial" w:hAnsi="Arial" w:cs="Arial"/>
          <w:sz w:val="24"/>
          <w:szCs w:val="24"/>
        </w:rPr>
        <w:t>R</w:t>
      </w:r>
      <w:r w:rsidR="002605E9" w:rsidRPr="00B578BD">
        <w:rPr>
          <w:rFonts w:ascii="Arial" w:hAnsi="Arial" w:cs="Arial"/>
          <w:sz w:val="24"/>
          <w:szCs w:val="24"/>
        </w:rPr>
        <w:t>ispetto al</w:t>
      </w:r>
      <w:r w:rsidR="00086121">
        <w:rPr>
          <w:rFonts w:ascii="Arial" w:hAnsi="Arial" w:cs="Arial"/>
          <w:sz w:val="24"/>
          <w:szCs w:val="24"/>
        </w:rPr>
        <w:t>lo stesso periodo dello scorso anno,</w:t>
      </w:r>
      <w:r w:rsidR="002605E9" w:rsidRPr="00B578BD">
        <w:rPr>
          <w:rFonts w:ascii="Arial" w:hAnsi="Arial" w:cs="Arial"/>
          <w:sz w:val="24"/>
          <w:szCs w:val="24"/>
        </w:rPr>
        <w:t xml:space="preserve"> l</w:t>
      </w:r>
      <w:r w:rsidR="00C8583F" w:rsidRPr="00B578BD">
        <w:rPr>
          <w:rFonts w:ascii="Arial" w:hAnsi="Arial" w:cs="Arial"/>
          <w:sz w:val="24"/>
          <w:szCs w:val="24"/>
        </w:rPr>
        <w:t xml:space="preserve">e esportazioni Made in </w:t>
      </w:r>
      <w:proofErr w:type="spellStart"/>
      <w:r w:rsidR="00C8583F" w:rsidRPr="00B578BD">
        <w:rPr>
          <w:rFonts w:ascii="Arial" w:hAnsi="Arial" w:cs="Arial"/>
          <w:sz w:val="24"/>
          <w:szCs w:val="24"/>
        </w:rPr>
        <w:t>Italy</w:t>
      </w:r>
      <w:proofErr w:type="spellEnd"/>
      <w:r w:rsidR="00D91FA4" w:rsidRPr="00B578BD">
        <w:rPr>
          <w:rFonts w:ascii="Arial" w:hAnsi="Arial" w:cs="Arial"/>
          <w:sz w:val="24"/>
          <w:szCs w:val="24"/>
        </w:rPr>
        <w:t xml:space="preserve"> sono cresciute del </w:t>
      </w:r>
      <w:r w:rsidR="00086121">
        <w:rPr>
          <w:rFonts w:ascii="Arial" w:hAnsi="Arial" w:cs="Arial"/>
          <w:sz w:val="24"/>
          <w:szCs w:val="24"/>
        </w:rPr>
        <w:t>4</w:t>
      </w:r>
      <w:r w:rsidR="00D91FA4" w:rsidRPr="00B578BD">
        <w:rPr>
          <w:rFonts w:ascii="Arial" w:hAnsi="Arial" w:cs="Arial"/>
          <w:sz w:val="24"/>
          <w:szCs w:val="24"/>
        </w:rPr>
        <w:t>%</w:t>
      </w:r>
      <w:r w:rsidR="00D2354C">
        <w:rPr>
          <w:rFonts w:ascii="Arial" w:hAnsi="Arial" w:cs="Arial"/>
          <w:sz w:val="24"/>
          <w:szCs w:val="24"/>
        </w:rPr>
        <w:t xml:space="preserve"> </w:t>
      </w:r>
      <w:r w:rsidR="00D91FA4" w:rsidRPr="00B578BD">
        <w:rPr>
          <w:rFonts w:ascii="Arial" w:hAnsi="Arial" w:cs="Arial"/>
          <w:sz w:val="24"/>
          <w:szCs w:val="24"/>
        </w:rPr>
        <w:t xml:space="preserve">e hanno realizzato un valore assoluto </w:t>
      </w:r>
      <w:r w:rsidR="000D7EFB">
        <w:rPr>
          <w:rFonts w:ascii="Arial" w:hAnsi="Arial" w:cs="Arial"/>
          <w:sz w:val="24"/>
          <w:szCs w:val="24"/>
        </w:rPr>
        <w:t>di</w:t>
      </w:r>
      <w:r w:rsidR="00086121">
        <w:rPr>
          <w:rFonts w:ascii="Arial" w:hAnsi="Arial" w:cs="Arial"/>
          <w:sz w:val="24"/>
          <w:szCs w:val="24"/>
        </w:rPr>
        <w:t xml:space="preserve"> 3.2</w:t>
      </w:r>
      <w:r w:rsidR="00D91FA4" w:rsidRPr="00B578BD">
        <w:rPr>
          <w:rFonts w:ascii="Arial" w:hAnsi="Arial" w:cs="Arial"/>
          <w:sz w:val="24"/>
          <w:szCs w:val="24"/>
        </w:rPr>
        <w:t xml:space="preserve"> miliardi di euro.</w:t>
      </w:r>
      <w:r w:rsidR="00E17E57">
        <w:rPr>
          <w:rFonts w:ascii="Arial" w:hAnsi="Arial" w:cs="Arial"/>
          <w:sz w:val="24"/>
          <w:szCs w:val="24"/>
        </w:rPr>
        <w:t xml:space="preserve"> </w:t>
      </w:r>
      <w:r w:rsidR="00477176">
        <w:rPr>
          <w:rFonts w:ascii="Arial" w:hAnsi="Arial" w:cs="Arial"/>
          <w:sz w:val="24"/>
          <w:szCs w:val="24"/>
        </w:rPr>
        <w:t>Le importazioni</w:t>
      </w:r>
      <w:r w:rsidR="000D7EFB">
        <w:rPr>
          <w:rFonts w:ascii="Arial" w:hAnsi="Arial" w:cs="Arial"/>
          <w:sz w:val="24"/>
          <w:szCs w:val="24"/>
        </w:rPr>
        <w:t>,</w:t>
      </w:r>
      <w:r w:rsidR="00480F21">
        <w:rPr>
          <w:rFonts w:ascii="Arial" w:hAnsi="Arial" w:cs="Arial"/>
          <w:sz w:val="24"/>
          <w:szCs w:val="24"/>
        </w:rPr>
        <w:t xml:space="preserve"> </w:t>
      </w:r>
      <w:r w:rsidR="000D7EFB">
        <w:rPr>
          <w:rFonts w:ascii="Arial" w:hAnsi="Arial" w:cs="Arial"/>
          <w:sz w:val="24"/>
          <w:szCs w:val="24"/>
        </w:rPr>
        <w:t>invece,</w:t>
      </w:r>
      <w:r w:rsidR="00477176">
        <w:rPr>
          <w:rFonts w:ascii="Arial" w:hAnsi="Arial" w:cs="Arial"/>
          <w:sz w:val="24"/>
          <w:szCs w:val="24"/>
        </w:rPr>
        <w:t xml:space="preserve"> sono diminuite</w:t>
      </w:r>
      <w:r w:rsidR="00D91FA4" w:rsidRPr="00B578BD">
        <w:rPr>
          <w:rFonts w:ascii="Arial" w:hAnsi="Arial" w:cs="Arial"/>
          <w:sz w:val="24"/>
          <w:szCs w:val="24"/>
        </w:rPr>
        <w:t xml:space="preserve"> su base </w:t>
      </w:r>
      <w:r w:rsidR="00086121">
        <w:rPr>
          <w:rFonts w:ascii="Arial" w:hAnsi="Arial" w:cs="Arial"/>
          <w:sz w:val="24"/>
          <w:szCs w:val="24"/>
        </w:rPr>
        <w:t>tendenziale</w:t>
      </w:r>
      <w:r w:rsidR="00D91FA4" w:rsidRPr="00B578BD">
        <w:rPr>
          <w:rFonts w:ascii="Arial" w:hAnsi="Arial" w:cs="Arial"/>
          <w:sz w:val="24"/>
          <w:szCs w:val="24"/>
        </w:rPr>
        <w:t xml:space="preserve"> dell</w:t>
      </w:r>
      <w:r w:rsidR="00086121">
        <w:rPr>
          <w:rFonts w:ascii="Arial" w:hAnsi="Arial" w:cs="Arial"/>
          <w:sz w:val="24"/>
          <w:szCs w:val="24"/>
        </w:rPr>
        <w:t>o 0.8%</w:t>
      </w:r>
      <w:r w:rsidR="00477176">
        <w:rPr>
          <w:rFonts w:ascii="Arial" w:hAnsi="Arial" w:cs="Arial"/>
          <w:sz w:val="24"/>
          <w:szCs w:val="24"/>
        </w:rPr>
        <w:t xml:space="preserve"> (</w:t>
      </w:r>
      <w:r w:rsidR="00086121">
        <w:rPr>
          <w:rFonts w:ascii="Arial" w:hAnsi="Arial" w:cs="Arial"/>
          <w:sz w:val="24"/>
          <w:szCs w:val="24"/>
        </w:rPr>
        <w:t xml:space="preserve">3.69 </w:t>
      </w:r>
      <w:r w:rsidR="00BD1209" w:rsidRPr="00B578BD">
        <w:rPr>
          <w:rFonts w:ascii="Arial" w:hAnsi="Arial" w:cs="Arial"/>
          <w:sz w:val="24"/>
          <w:szCs w:val="24"/>
        </w:rPr>
        <w:t>miliardi di euro</w:t>
      </w:r>
      <w:r w:rsidR="00BD1209">
        <w:rPr>
          <w:rFonts w:ascii="Arial" w:hAnsi="Arial" w:cs="Arial"/>
          <w:sz w:val="24"/>
          <w:szCs w:val="24"/>
        </w:rPr>
        <w:t xml:space="preserve"> in valore assoluto)</w:t>
      </w:r>
      <w:r w:rsidR="00D91FA4" w:rsidRPr="00B578BD">
        <w:rPr>
          <w:rFonts w:ascii="Arial" w:hAnsi="Arial" w:cs="Arial"/>
          <w:sz w:val="24"/>
          <w:szCs w:val="24"/>
        </w:rPr>
        <w:t>. Tale dinamica</w:t>
      </w:r>
      <w:r w:rsidR="00D2354C">
        <w:rPr>
          <w:rFonts w:ascii="Arial" w:hAnsi="Arial" w:cs="Arial"/>
          <w:sz w:val="24"/>
          <w:szCs w:val="24"/>
        </w:rPr>
        <w:t xml:space="preserve"> degli scambi </w:t>
      </w:r>
      <w:r w:rsidR="00D91FA4" w:rsidRPr="00B578BD">
        <w:rPr>
          <w:rFonts w:ascii="Arial" w:hAnsi="Arial" w:cs="Arial"/>
          <w:sz w:val="24"/>
          <w:szCs w:val="24"/>
        </w:rPr>
        <w:t xml:space="preserve">si è </w:t>
      </w:r>
      <w:r w:rsidR="00D2354C">
        <w:rPr>
          <w:rFonts w:ascii="Arial" w:hAnsi="Arial" w:cs="Arial"/>
          <w:sz w:val="24"/>
          <w:szCs w:val="24"/>
        </w:rPr>
        <w:t>riverberata sul</w:t>
      </w:r>
      <w:r w:rsidR="002605E9" w:rsidRPr="00B578BD">
        <w:rPr>
          <w:rFonts w:ascii="Arial" w:hAnsi="Arial" w:cs="Arial"/>
          <w:sz w:val="24"/>
          <w:szCs w:val="24"/>
        </w:rPr>
        <w:t xml:space="preserve"> </w:t>
      </w:r>
      <w:r w:rsidR="002605E9" w:rsidRPr="000D7EFB">
        <w:rPr>
          <w:rFonts w:ascii="Arial" w:hAnsi="Arial" w:cs="Arial"/>
          <w:sz w:val="24"/>
          <w:szCs w:val="24"/>
          <w:u w:val="single"/>
        </w:rPr>
        <w:t>disavanzo</w:t>
      </w:r>
      <w:r w:rsidR="00D2354C">
        <w:rPr>
          <w:rFonts w:ascii="Arial" w:hAnsi="Arial" w:cs="Arial"/>
          <w:sz w:val="24"/>
          <w:szCs w:val="24"/>
          <w:u w:val="single"/>
        </w:rPr>
        <w:t xml:space="preserve"> commerciale</w:t>
      </w:r>
      <w:r w:rsidR="00381427">
        <w:rPr>
          <w:rFonts w:ascii="Arial" w:hAnsi="Arial" w:cs="Arial"/>
          <w:sz w:val="24"/>
          <w:szCs w:val="24"/>
        </w:rPr>
        <w:t xml:space="preserve"> </w:t>
      </w:r>
      <w:r w:rsidR="00381427" w:rsidRPr="009632F3">
        <w:rPr>
          <w:rFonts w:ascii="Arial" w:hAnsi="Arial" w:cs="Arial"/>
          <w:sz w:val="24"/>
          <w:szCs w:val="24"/>
        </w:rPr>
        <w:t xml:space="preserve">che, </w:t>
      </w:r>
      <w:r w:rsidR="009632F3">
        <w:rPr>
          <w:rFonts w:ascii="Arial" w:hAnsi="Arial" w:cs="Arial"/>
          <w:sz w:val="24"/>
          <w:szCs w:val="24"/>
        </w:rPr>
        <w:t xml:space="preserve">rispetto ai circa </w:t>
      </w:r>
      <w:r w:rsidR="00086121">
        <w:rPr>
          <w:rFonts w:ascii="Arial" w:hAnsi="Arial" w:cs="Arial"/>
          <w:sz w:val="24"/>
          <w:szCs w:val="24"/>
        </w:rPr>
        <w:t>606 milioni</w:t>
      </w:r>
      <w:r w:rsidR="00381427" w:rsidRPr="009632F3">
        <w:rPr>
          <w:rFonts w:ascii="Arial" w:hAnsi="Arial" w:cs="Arial"/>
          <w:sz w:val="24"/>
          <w:szCs w:val="24"/>
        </w:rPr>
        <w:t xml:space="preserve"> di euro fatti registrare </w:t>
      </w:r>
      <w:r w:rsidR="000D7EFB" w:rsidRPr="009632F3">
        <w:rPr>
          <w:rFonts w:ascii="Arial" w:hAnsi="Arial" w:cs="Arial"/>
          <w:sz w:val="24"/>
          <w:szCs w:val="24"/>
        </w:rPr>
        <w:t>lo scorso anno</w:t>
      </w:r>
      <w:r w:rsidR="00381427" w:rsidRPr="009632F3">
        <w:rPr>
          <w:rFonts w:ascii="Arial" w:hAnsi="Arial" w:cs="Arial"/>
          <w:sz w:val="24"/>
          <w:szCs w:val="24"/>
        </w:rPr>
        <w:t>,</w:t>
      </w:r>
      <w:r w:rsidR="00381427" w:rsidRPr="002C2084">
        <w:rPr>
          <w:rFonts w:ascii="Arial" w:hAnsi="Arial" w:cs="Arial"/>
          <w:sz w:val="24"/>
          <w:szCs w:val="24"/>
        </w:rPr>
        <w:t xml:space="preserve"> </w:t>
      </w:r>
      <w:r w:rsidR="002C2084" w:rsidRPr="002C2084">
        <w:rPr>
          <w:rFonts w:ascii="Arial" w:hAnsi="Arial" w:cs="Arial"/>
          <w:sz w:val="24"/>
          <w:szCs w:val="24"/>
        </w:rPr>
        <w:t xml:space="preserve">si è ridotto </w:t>
      </w:r>
      <w:r w:rsidR="00381427" w:rsidRPr="002C2084">
        <w:rPr>
          <w:rFonts w:ascii="Arial" w:hAnsi="Arial" w:cs="Arial"/>
          <w:sz w:val="24"/>
          <w:szCs w:val="24"/>
        </w:rPr>
        <w:t xml:space="preserve">del </w:t>
      </w:r>
      <w:r w:rsidR="00086121">
        <w:rPr>
          <w:rFonts w:ascii="Arial" w:hAnsi="Arial" w:cs="Arial"/>
          <w:sz w:val="24"/>
          <w:szCs w:val="24"/>
        </w:rPr>
        <w:t>27.7</w:t>
      </w:r>
      <w:r w:rsidR="00381427" w:rsidRPr="002C2084">
        <w:rPr>
          <w:rFonts w:ascii="Arial" w:hAnsi="Arial" w:cs="Arial"/>
          <w:sz w:val="24"/>
          <w:szCs w:val="24"/>
        </w:rPr>
        <w:t>%.</w:t>
      </w:r>
      <w:r w:rsidR="00D91FA4" w:rsidRPr="002C2084">
        <w:rPr>
          <w:rFonts w:ascii="Arial" w:hAnsi="Arial" w:cs="Arial"/>
          <w:sz w:val="24"/>
          <w:szCs w:val="24"/>
        </w:rPr>
        <w:t xml:space="preserve"> </w:t>
      </w:r>
      <w:r w:rsidR="00E57976" w:rsidRPr="002C2084">
        <w:rPr>
          <w:rFonts w:ascii="Arial" w:hAnsi="Arial" w:cs="Arial"/>
          <w:sz w:val="24"/>
          <w:szCs w:val="24"/>
        </w:rPr>
        <w:t xml:space="preserve">In tale contesto, </w:t>
      </w:r>
      <w:r w:rsidR="00381427" w:rsidRPr="002C2084">
        <w:rPr>
          <w:rFonts w:ascii="Arial" w:hAnsi="Arial" w:cs="Arial"/>
          <w:sz w:val="24"/>
          <w:szCs w:val="24"/>
        </w:rPr>
        <w:t>le vendite estere di</w:t>
      </w:r>
      <w:r w:rsidR="00E57976" w:rsidRPr="002C2084">
        <w:rPr>
          <w:rFonts w:ascii="Arial" w:hAnsi="Arial" w:cs="Arial"/>
          <w:sz w:val="24"/>
          <w:szCs w:val="24"/>
        </w:rPr>
        <w:t xml:space="preserve"> </w:t>
      </w:r>
      <w:r w:rsidR="00E57976" w:rsidRPr="002C2084">
        <w:rPr>
          <w:rFonts w:ascii="Arial" w:hAnsi="Arial" w:cs="Arial"/>
          <w:sz w:val="24"/>
          <w:szCs w:val="24"/>
          <w:u w:val="single"/>
        </w:rPr>
        <w:t>prodotti agricoli</w:t>
      </w:r>
      <w:r w:rsidR="00E57976" w:rsidRPr="002C2084">
        <w:rPr>
          <w:rFonts w:ascii="Arial" w:hAnsi="Arial" w:cs="Arial"/>
          <w:sz w:val="24"/>
          <w:szCs w:val="24"/>
        </w:rPr>
        <w:t xml:space="preserve"> </w:t>
      </w:r>
      <w:r w:rsidR="00381427" w:rsidRPr="002C2084">
        <w:rPr>
          <w:rFonts w:ascii="Arial" w:hAnsi="Arial" w:cs="Arial"/>
          <w:sz w:val="24"/>
          <w:szCs w:val="24"/>
        </w:rPr>
        <w:t xml:space="preserve">hanno ceduto il </w:t>
      </w:r>
      <w:r w:rsidR="00086121">
        <w:rPr>
          <w:rFonts w:ascii="Arial" w:hAnsi="Arial" w:cs="Arial"/>
          <w:sz w:val="24"/>
          <w:szCs w:val="24"/>
        </w:rPr>
        <w:t>2</w:t>
      </w:r>
      <w:r w:rsidR="00381427" w:rsidRPr="002C2084">
        <w:rPr>
          <w:rFonts w:ascii="Arial" w:hAnsi="Arial" w:cs="Arial"/>
          <w:sz w:val="24"/>
          <w:szCs w:val="24"/>
        </w:rPr>
        <w:t xml:space="preserve">% del loro valore </w:t>
      </w:r>
      <w:r w:rsidR="00D2354C">
        <w:rPr>
          <w:rFonts w:ascii="Arial" w:hAnsi="Arial" w:cs="Arial"/>
          <w:sz w:val="24"/>
          <w:szCs w:val="24"/>
        </w:rPr>
        <w:t>mentre</w:t>
      </w:r>
      <w:r w:rsidR="00381427" w:rsidRPr="002C2084">
        <w:rPr>
          <w:rFonts w:ascii="Arial" w:hAnsi="Arial" w:cs="Arial"/>
          <w:sz w:val="24"/>
          <w:szCs w:val="24"/>
        </w:rPr>
        <w:t xml:space="preserve"> le importazioni, </w:t>
      </w:r>
      <w:r w:rsidR="00086121">
        <w:rPr>
          <w:rFonts w:ascii="Arial" w:hAnsi="Arial" w:cs="Arial"/>
          <w:sz w:val="24"/>
          <w:szCs w:val="24"/>
        </w:rPr>
        <w:t>con 1.25</w:t>
      </w:r>
      <w:r w:rsidR="00D2354C">
        <w:rPr>
          <w:rFonts w:ascii="Arial" w:hAnsi="Arial" w:cs="Arial"/>
          <w:sz w:val="24"/>
          <w:szCs w:val="24"/>
        </w:rPr>
        <w:t xml:space="preserve"> miliardi di euro</w:t>
      </w:r>
      <w:r w:rsidR="007E1C89" w:rsidRPr="002C2084">
        <w:rPr>
          <w:rFonts w:ascii="Arial" w:hAnsi="Arial" w:cs="Arial"/>
          <w:sz w:val="24"/>
          <w:szCs w:val="24"/>
        </w:rPr>
        <w:t xml:space="preserve"> </w:t>
      </w:r>
      <w:r w:rsidR="00086121">
        <w:rPr>
          <w:rFonts w:ascii="Arial" w:hAnsi="Arial" w:cs="Arial"/>
          <w:sz w:val="24"/>
          <w:szCs w:val="24"/>
        </w:rPr>
        <w:t>a gennaio 2019, si sono ridotte del 3.3</w:t>
      </w:r>
      <w:r w:rsidR="00D2354C">
        <w:rPr>
          <w:rFonts w:ascii="Arial" w:hAnsi="Arial" w:cs="Arial"/>
          <w:sz w:val="24"/>
          <w:szCs w:val="24"/>
        </w:rPr>
        <w:t xml:space="preserve">%. </w:t>
      </w:r>
      <w:r w:rsidR="00A61F1D" w:rsidRPr="002C2084">
        <w:rPr>
          <w:rFonts w:ascii="Arial" w:hAnsi="Arial" w:cs="Arial"/>
          <w:sz w:val="24"/>
          <w:szCs w:val="24"/>
        </w:rPr>
        <w:t>I</w:t>
      </w:r>
      <w:r w:rsidR="00E57976" w:rsidRPr="002C2084">
        <w:rPr>
          <w:rFonts w:ascii="Arial" w:hAnsi="Arial" w:cs="Arial"/>
          <w:sz w:val="24"/>
          <w:szCs w:val="24"/>
        </w:rPr>
        <w:t xml:space="preserve">l </w:t>
      </w:r>
      <w:r w:rsidR="00E57976" w:rsidRPr="002C2084">
        <w:rPr>
          <w:rFonts w:ascii="Arial" w:hAnsi="Arial" w:cs="Arial"/>
          <w:sz w:val="24"/>
          <w:szCs w:val="24"/>
          <w:u w:val="single"/>
        </w:rPr>
        <w:t>grado di copertura commerciale</w:t>
      </w:r>
      <w:r w:rsidR="00E57976" w:rsidRPr="002C2084">
        <w:rPr>
          <w:rFonts w:ascii="Arial" w:hAnsi="Arial" w:cs="Arial"/>
          <w:sz w:val="24"/>
          <w:szCs w:val="24"/>
        </w:rPr>
        <w:t>, misurato dal rapporto percentuale tra export ed import,</w:t>
      </w:r>
      <w:r w:rsidR="005B1F9C" w:rsidRPr="002C2084">
        <w:rPr>
          <w:rFonts w:ascii="Arial" w:hAnsi="Arial" w:cs="Arial"/>
          <w:sz w:val="24"/>
          <w:szCs w:val="24"/>
        </w:rPr>
        <w:t xml:space="preserve"> </w:t>
      </w:r>
      <w:r w:rsidR="00E57976" w:rsidRPr="002C2084">
        <w:rPr>
          <w:rFonts w:ascii="Arial" w:hAnsi="Arial" w:cs="Arial"/>
          <w:sz w:val="24"/>
          <w:szCs w:val="24"/>
        </w:rPr>
        <w:t>si è posizionato su</w:t>
      </w:r>
      <w:r w:rsidR="00086121">
        <w:rPr>
          <w:rFonts w:ascii="Arial" w:hAnsi="Arial" w:cs="Arial"/>
          <w:sz w:val="24"/>
          <w:szCs w:val="24"/>
        </w:rPr>
        <w:t>ll’88</w:t>
      </w:r>
      <w:r w:rsidR="00514B2C" w:rsidRPr="002C2084">
        <w:rPr>
          <w:rFonts w:ascii="Arial" w:hAnsi="Arial" w:cs="Arial"/>
          <w:sz w:val="24"/>
          <w:szCs w:val="24"/>
        </w:rPr>
        <w:t>%</w:t>
      </w:r>
      <w:r w:rsidR="00E57976" w:rsidRPr="002C2084">
        <w:rPr>
          <w:rFonts w:ascii="Arial" w:hAnsi="Arial" w:cs="Arial"/>
          <w:sz w:val="24"/>
          <w:szCs w:val="24"/>
        </w:rPr>
        <w:t xml:space="preserve"> </w:t>
      </w:r>
      <w:r w:rsidR="005B1F9C" w:rsidRPr="002C2084">
        <w:rPr>
          <w:rFonts w:ascii="Arial" w:hAnsi="Arial" w:cs="Arial"/>
          <w:sz w:val="24"/>
          <w:szCs w:val="24"/>
        </w:rPr>
        <w:t xml:space="preserve">con un incremento di </w:t>
      </w:r>
      <w:r w:rsidR="00086121">
        <w:rPr>
          <w:rFonts w:ascii="Arial" w:hAnsi="Arial" w:cs="Arial"/>
          <w:sz w:val="24"/>
          <w:szCs w:val="24"/>
        </w:rPr>
        <w:t>quattro</w:t>
      </w:r>
      <w:r w:rsidR="005B1F9C" w:rsidRPr="002C2084">
        <w:rPr>
          <w:rFonts w:ascii="Arial" w:hAnsi="Arial" w:cs="Arial"/>
          <w:sz w:val="24"/>
          <w:szCs w:val="24"/>
        </w:rPr>
        <w:t xml:space="preserve"> punti</w:t>
      </w:r>
      <w:r w:rsidR="00D91FA4" w:rsidRPr="002C2084">
        <w:rPr>
          <w:rFonts w:ascii="Arial" w:hAnsi="Arial" w:cs="Arial"/>
          <w:sz w:val="24"/>
          <w:szCs w:val="24"/>
        </w:rPr>
        <w:t xml:space="preserve"> percentuali</w:t>
      </w:r>
      <w:r w:rsidR="00FD3960" w:rsidRPr="002C2084">
        <w:rPr>
          <w:rFonts w:ascii="Arial" w:hAnsi="Arial" w:cs="Arial"/>
          <w:sz w:val="24"/>
          <w:szCs w:val="24"/>
        </w:rPr>
        <w:t xml:space="preserve"> rispetto </w:t>
      </w:r>
      <w:r w:rsidR="009632F3">
        <w:rPr>
          <w:rFonts w:ascii="Arial" w:hAnsi="Arial" w:cs="Arial"/>
          <w:sz w:val="24"/>
          <w:szCs w:val="24"/>
        </w:rPr>
        <w:t xml:space="preserve">allo stesso periodo di rilevazione </w:t>
      </w:r>
      <w:r w:rsidR="00FD3960" w:rsidRPr="002C2084">
        <w:rPr>
          <w:rFonts w:ascii="Arial" w:hAnsi="Arial" w:cs="Arial"/>
          <w:sz w:val="24"/>
          <w:szCs w:val="24"/>
        </w:rPr>
        <w:t>del</w:t>
      </w:r>
      <w:r w:rsidR="000C4F0A" w:rsidRPr="002C2084">
        <w:rPr>
          <w:rFonts w:ascii="Arial" w:hAnsi="Arial" w:cs="Arial"/>
          <w:sz w:val="24"/>
          <w:szCs w:val="24"/>
        </w:rPr>
        <w:t>la scorsa annata</w:t>
      </w:r>
      <w:r w:rsidR="002C2084" w:rsidRPr="002C2084">
        <w:rPr>
          <w:rFonts w:ascii="Arial" w:hAnsi="Arial" w:cs="Arial"/>
          <w:sz w:val="24"/>
          <w:szCs w:val="24"/>
        </w:rPr>
        <w:t xml:space="preserve"> quando era stato pari al</w:t>
      </w:r>
      <w:r w:rsidR="00086121">
        <w:rPr>
          <w:rFonts w:ascii="Arial" w:hAnsi="Arial" w:cs="Arial"/>
          <w:sz w:val="24"/>
          <w:szCs w:val="24"/>
        </w:rPr>
        <w:t>l’84</w:t>
      </w:r>
      <w:r w:rsidR="002C2084" w:rsidRPr="002C2084">
        <w:rPr>
          <w:rFonts w:ascii="Arial" w:hAnsi="Arial" w:cs="Arial"/>
          <w:sz w:val="24"/>
          <w:szCs w:val="24"/>
        </w:rPr>
        <w:t>%</w:t>
      </w:r>
      <w:r w:rsidR="00D91FA4" w:rsidRPr="002C2084">
        <w:rPr>
          <w:rFonts w:ascii="Arial" w:hAnsi="Arial" w:cs="Arial"/>
          <w:sz w:val="24"/>
          <w:szCs w:val="24"/>
        </w:rPr>
        <w:t>.</w:t>
      </w:r>
    </w:p>
    <w:p w:rsidR="00E17E57" w:rsidRPr="004B1F1B" w:rsidRDefault="00E17E57" w:rsidP="00ED4E1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B1F1B">
        <w:rPr>
          <w:rFonts w:ascii="Arial" w:hAnsi="Arial" w:cs="Arial"/>
          <w:sz w:val="24"/>
          <w:szCs w:val="24"/>
        </w:rPr>
        <w:t>Tornando infine alla dinamica delle vendite estere agroalimentari, prendendo come riferimento i</w:t>
      </w:r>
      <w:r w:rsidR="004B1F1B">
        <w:rPr>
          <w:rFonts w:ascii="Arial" w:hAnsi="Arial" w:cs="Arial"/>
          <w:sz w:val="24"/>
          <w:szCs w:val="24"/>
        </w:rPr>
        <w:t xml:space="preserve">l solo dato mensile di </w:t>
      </w:r>
      <w:r w:rsidR="00A46CF5">
        <w:rPr>
          <w:rFonts w:ascii="Arial" w:hAnsi="Arial" w:cs="Arial"/>
          <w:sz w:val="24"/>
          <w:szCs w:val="24"/>
        </w:rPr>
        <w:t>gennaio</w:t>
      </w:r>
      <w:r w:rsidRPr="004B1F1B">
        <w:rPr>
          <w:rFonts w:ascii="Arial" w:hAnsi="Arial" w:cs="Arial"/>
          <w:sz w:val="24"/>
          <w:szCs w:val="24"/>
        </w:rPr>
        <w:t>,</w:t>
      </w:r>
      <w:r w:rsidR="004B1F1B">
        <w:rPr>
          <w:rFonts w:ascii="Arial" w:hAnsi="Arial" w:cs="Arial"/>
          <w:sz w:val="24"/>
          <w:szCs w:val="24"/>
        </w:rPr>
        <w:t xml:space="preserve"> rispetto allo stesso periodo di rilevazione per l’anno precedente,</w:t>
      </w:r>
      <w:r w:rsidRPr="004B1F1B">
        <w:rPr>
          <w:rFonts w:ascii="Arial" w:hAnsi="Arial" w:cs="Arial"/>
          <w:sz w:val="24"/>
          <w:szCs w:val="24"/>
        </w:rPr>
        <w:t xml:space="preserve"> è utile segnalare la </w:t>
      </w:r>
      <w:r w:rsidR="00A46CF5">
        <w:rPr>
          <w:rFonts w:ascii="Arial" w:hAnsi="Arial" w:cs="Arial"/>
          <w:sz w:val="24"/>
          <w:szCs w:val="24"/>
        </w:rPr>
        <w:t>crescita</w:t>
      </w:r>
      <w:r w:rsidRPr="004B1F1B">
        <w:rPr>
          <w:rFonts w:ascii="Arial" w:hAnsi="Arial" w:cs="Arial"/>
          <w:sz w:val="24"/>
          <w:szCs w:val="24"/>
        </w:rPr>
        <w:t xml:space="preserve"> </w:t>
      </w:r>
      <w:r w:rsidR="00A46CF5">
        <w:rPr>
          <w:rFonts w:ascii="Arial" w:hAnsi="Arial" w:cs="Arial"/>
          <w:sz w:val="24"/>
          <w:szCs w:val="24"/>
        </w:rPr>
        <w:t>dell’export dei prodotti alimentari</w:t>
      </w:r>
      <w:r w:rsidR="004B1F1B">
        <w:rPr>
          <w:rFonts w:ascii="Arial" w:hAnsi="Arial" w:cs="Arial"/>
          <w:sz w:val="24"/>
          <w:szCs w:val="24"/>
        </w:rPr>
        <w:t xml:space="preserve"> </w:t>
      </w:r>
      <w:r w:rsidR="00A46CF5">
        <w:rPr>
          <w:rFonts w:ascii="Arial" w:hAnsi="Arial" w:cs="Arial"/>
          <w:sz w:val="24"/>
          <w:szCs w:val="24"/>
        </w:rPr>
        <w:t xml:space="preserve">che è stata pari al 6%. </w:t>
      </w:r>
    </w:p>
    <w:p w:rsidR="00E57976" w:rsidRPr="009632F3" w:rsidRDefault="00E57976" w:rsidP="00E57976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:rsidR="00E57976" w:rsidRDefault="00E57976" w:rsidP="00E57976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EF7477">
        <w:rPr>
          <w:rFonts w:ascii="Arial" w:hAnsi="Arial" w:cs="Arial"/>
          <w:i/>
          <w:sz w:val="24"/>
          <w:szCs w:val="24"/>
        </w:rPr>
        <w:t>Bilancia a</w:t>
      </w:r>
      <w:r w:rsidR="002A1890">
        <w:rPr>
          <w:rFonts w:ascii="Arial" w:hAnsi="Arial" w:cs="Arial"/>
          <w:i/>
          <w:sz w:val="24"/>
          <w:szCs w:val="24"/>
        </w:rPr>
        <w:t>groalimentare italiana (gennaio 2019</w:t>
      </w:r>
      <w:r w:rsidR="005326E4">
        <w:rPr>
          <w:rFonts w:ascii="Arial" w:hAnsi="Arial" w:cs="Arial"/>
          <w:i/>
          <w:sz w:val="24"/>
          <w:szCs w:val="24"/>
        </w:rPr>
        <w:t xml:space="preserve">, </w:t>
      </w:r>
      <w:r w:rsidRPr="00EF7477">
        <w:rPr>
          <w:rFonts w:ascii="Arial" w:hAnsi="Arial" w:cs="Arial"/>
          <w:i/>
          <w:sz w:val="24"/>
          <w:szCs w:val="24"/>
        </w:rPr>
        <w:t>milioni di euro)</w:t>
      </w:r>
    </w:p>
    <w:p w:rsidR="00542814" w:rsidRDefault="002A1890" w:rsidP="002A1890">
      <w:pPr>
        <w:spacing w:after="0"/>
        <w:jc w:val="center"/>
      </w:pPr>
      <w:r w:rsidRPr="002A1890">
        <w:rPr>
          <w:noProof/>
          <w:lang w:eastAsia="it-IT"/>
        </w:rPr>
        <w:drawing>
          <wp:inline distT="0" distB="0" distL="0" distR="0">
            <wp:extent cx="4711700" cy="2032000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0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26E4">
        <w:fldChar w:fldCharType="begin"/>
      </w:r>
      <w:r w:rsidR="005326E4">
        <w:instrText xml:space="preserve"> LINK </w:instrText>
      </w:r>
      <w:r w:rsidR="00542814">
        <w:instrText xml:space="preserve">Excel.Sheet.12 "C:\\Users\\marco.barbetta.CIA-ITALIA\\Downloads\\commercio estero_21 Feb2019.xlsx" "bilancia agroalimentare!R26C7:R34C10" </w:instrText>
      </w:r>
      <w:r w:rsidR="005326E4">
        <w:instrText xml:space="preserve">\a \f 4 \h </w:instrText>
      </w:r>
      <w:r w:rsidR="00542814">
        <w:fldChar w:fldCharType="separate"/>
      </w:r>
    </w:p>
    <w:p w:rsidR="00E57976" w:rsidRPr="002A1890" w:rsidRDefault="005326E4" w:rsidP="002A1890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fldChar w:fldCharType="end"/>
      </w:r>
      <w:r w:rsidR="00E57976" w:rsidRPr="00ED4E15">
        <w:rPr>
          <w:rFonts w:ascii="Arial" w:hAnsi="Arial" w:cs="Arial"/>
        </w:rPr>
        <w:t>Fonte: Ufficio Studi C</w:t>
      </w:r>
      <w:r w:rsidR="00460C6F">
        <w:rPr>
          <w:rFonts w:ascii="Arial" w:hAnsi="Arial" w:cs="Arial"/>
        </w:rPr>
        <w:t>IA-Agricoltori Italiani</w:t>
      </w:r>
      <w:r w:rsidR="00E57976" w:rsidRPr="00ED4E15">
        <w:rPr>
          <w:rFonts w:ascii="Arial" w:hAnsi="Arial" w:cs="Arial"/>
        </w:rPr>
        <w:t xml:space="preserve"> su dati Istat</w:t>
      </w:r>
    </w:p>
    <w:p w:rsidR="00E57976" w:rsidRPr="0002503E" w:rsidRDefault="00E57976" w:rsidP="00E57976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:rsidR="00E57976" w:rsidRPr="000B0001" w:rsidRDefault="000C4F0A" w:rsidP="00A537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877D3">
        <w:rPr>
          <w:rFonts w:ascii="Arial" w:hAnsi="Arial" w:cs="Arial"/>
          <w:sz w:val="24"/>
          <w:szCs w:val="24"/>
        </w:rPr>
        <w:t>Per quanto attiene</w:t>
      </w:r>
      <w:r w:rsidR="00E57976" w:rsidRPr="004877D3">
        <w:rPr>
          <w:rFonts w:ascii="Arial" w:hAnsi="Arial" w:cs="Arial"/>
          <w:sz w:val="24"/>
          <w:szCs w:val="24"/>
        </w:rPr>
        <w:t xml:space="preserve"> alla </w:t>
      </w:r>
      <w:r w:rsidR="00E57976" w:rsidRPr="004877D3">
        <w:rPr>
          <w:rFonts w:ascii="Arial" w:hAnsi="Arial" w:cs="Arial"/>
          <w:sz w:val="24"/>
          <w:szCs w:val="24"/>
          <w:u w:val="single"/>
        </w:rPr>
        <w:t>distribuzione geografica degli scambi</w:t>
      </w:r>
      <w:r w:rsidR="00E57976" w:rsidRPr="004877D3">
        <w:rPr>
          <w:rFonts w:ascii="Arial" w:hAnsi="Arial" w:cs="Arial"/>
          <w:sz w:val="24"/>
          <w:szCs w:val="24"/>
        </w:rPr>
        <w:t xml:space="preserve">, </w:t>
      </w:r>
      <w:r w:rsidR="00510173" w:rsidRPr="004877D3">
        <w:rPr>
          <w:rFonts w:ascii="Arial" w:hAnsi="Arial" w:cs="Arial"/>
          <w:sz w:val="24"/>
          <w:szCs w:val="24"/>
        </w:rPr>
        <w:t>de</w:t>
      </w:r>
      <w:r w:rsidR="004877D3" w:rsidRPr="004877D3">
        <w:rPr>
          <w:rFonts w:ascii="Arial" w:hAnsi="Arial" w:cs="Arial"/>
          <w:sz w:val="24"/>
          <w:szCs w:val="24"/>
        </w:rPr>
        <w:t>gli oltre</w:t>
      </w:r>
      <w:r w:rsidR="00510173" w:rsidRPr="004877D3">
        <w:rPr>
          <w:rFonts w:ascii="Arial" w:hAnsi="Arial" w:cs="Arial"/>
          <w:sz w:val="24"/>
          <w:szCs w:val="24"/>
        </w:rPr>
        <w:t xml:space="preserve"> </w:t>
      </w:r>
      <w:r w:rsidR="00542814">
        <w:rPr>
          <w:rFonts w:ascii="Arial" w:hAnsi="Arial" w:cs="Arial"/>
          <w:sz w:val="24"/>
          <w:szCs w:val="24"/>
        </w:rPr>
        <w:t>3,5</w:t>
      </w:r>
      <w:r w:rsidR="00A46CF5">
        <w:rPr>
          <w:rFonts w:ascii="Arial" w:hAnsi="Arial" w:cs="Arial"/>
          <w:sz w:val="24"/>
          <w:szCs w:val="24"/>
        </w:rPr>
        <w:t xml:space="preserve"> miliardi</w:t>
      </w:r>
      <w:r w:rsidR="00104760" w:rsidRPr="004877D3">
        <w:rPr>
          <w:rFonts w:ascii="Arial" w:hAnsi="Arial" w:cs="Arial"/>
          <w:sz w:val="24"/>
          <w:szCs w:val="24"/>
        </w:rPr>
        <w:t xml:space="preserve"> di euro </w:t>
      </w:r>
      <w:r w:rsidR="00E57976" w:rsidRPr="004877D3">
        <w:rPr>
          <w:rFonts w:ascii="Arial" w:hAnsi="Arial" w:cs="Arial"/>
          <w:sz w:val="24"/>
          <w:szCs w:val="24"/>
        </w:rPr>
        <w:t>importati dall’Italia</w:t>
      </w:r>
      <w:r w:rsidR="000D7EFB" w:rsidRPr="004877D3">
        <w:rPr>
          <w:rFonts w:ascii="Arial" w:hAnsi="Arial" w:cs="Arial"/>
          <w:sz w:val="24"/>
          <w:szCs w:val="24"/>
        </w:rPr>
        <w:t xml:space="preserve"> </w:t>
      </w:r>
      <w:r w:rsidR="00A46CF5">
        <w:rPr>
          <w:rFonts w:ascii="Arial" w:hAnsi="Arial" w:cs="Arial"/>
          <w:sz w:val="24"/>
          <w:szCs w:val="24"/>
        </w:rPr>
        <w:t>a gennaio 2019,</w:t>
      </w:r>
      <w:r w:rsidR="00E57976" w:rsidRPr="004877D3">
        <w:rPr>
          <w:rFonts w:ascii="Arial" w:hAnsi="Arial" w:cs="Arial"/>
          <w:sz w:val="24"/>
          <w:szCs w:val="24"/>
        </w:rPr>
        <w:t xml:space="preserve"> </w:t>
      </w:r>
      <w:r w:rsidR="00A46CF5">
        <w:rPr>
          <w:rFonts w:ascii="Arial" w:hAnsi="Arial" w:cs="Arial"/>
          <w:sz w:val="24"/>
          <w:szCs w:val="24"/>
        </w:rPr>
        <w:t>il 68</w:t>
      </w:r>
      <w:r w:rsidR="00A61F1D" w:rsidRPr="004877D3">
        <w:rPr>
          <w:rFonts w:ascii="Arial" w:hAnsi="Arial" w:cs="Arial"/>
          <w:sz w:val="24"/>
          <w:szCs w:val="24"/>
        </w:rPr>
        <w:t>%</w:t>
      </w:r>
      <w:r w:rsidR="00104760" w:rsidRPr="004877D3">
        <w:rPr>
          <w:rFonts w:ascii="Arial" w:hAnsi="Arial" w:cs="Arial"/>
          <w:sz w:val="24"/>
          <w:szCs w:val="24"/>
        </w:rPr>
        <w:t xml:space="preserve"> </w:t>
      </w:r>
      <w:r w:rsidR="009632F3">
        <w:rPr>
          <w:rFonts w:ascii="Arial" w:hAnsi="Arial" w:cs="Arial"/>
          <w:sz w:val="24"/>
          <w:szCs w:val="24"/>
        </w:rPr>
        <w:t xml:space="preserve">pari a </w:t>
      </w:r>
      <w:r w:rsidR="00A46CF5">
        <w:rPr>
          <w:rFonts w:ascii="Arial" w:hAnsi="Arial" w:cs="Arial"/>
          <w:sz w:val="24"/>
          <w:szCs w:val="24"/>
        </w:rPr>
        <w:t>2.5</w:t>
      </w:r>
      <w:r w:rsidR="00104760" w:rsidRPr="004877D3">
        <w:rPr>
          <w:rFonts w:ascii="Arial" w:hAnsi="Arial" w:cs="Arial"/>
          <w:sz w:val="24"/>
          <w:szCs w:val="24"/>
        </w:rPr>
        <w:t xml:space="preserve"> miliardi di euro</w:t>
      </w:r>
      <w:r w:rsidR="004877D3" w:rsidRPr="004877D3">
        <w:rPr>
          <w:rFonts w:ascii="Arial" w:hAnsi="Arial" w:cs="Arial"/>
          <w:sz w:val="24"/>
          <w:szCs w:val="24"/>
        </w:rPr>
        <w:t>,</w:t>
      </w:r>
      <w:r w:rsidR="00104760" w:rsidRPr="004877D3">
        <w:rPr>
          <w:rFonts w:ascii="Arial" w:hAnsi="Arial" w:cs="Arial"/>
          <w:sz w:val="24"/>
          <w:szCs w:val="24"/>
        </w:rPr>
        <w:t xml:space="preserve"> </w:t>
      </w:r>
      <w:r w:rsidR="00A61F1D" w:rsidRPr="004877D3">
        <w:rPr>
          <w:rFonts w:ascii="Arial" w:hAnsi="Arial" w:cs="Arial"/>
          <w:sz w:val="24"/>
          <w:szCs w:val="24"/>
        </w:rPr>
        <w:t xml:space="preserve">è </w:t>
      </w:r>
      <w:r w:rsidR="00A24FA2" w:rsidRPr="004877D3">
        <w:rPr>
          <w:rFonts w:ascii="Arial" w:hAnsi="Arial" w:cs="Arial"/>
          <w:sz w:val="24"/>
          <w:szCs w:val="24"/>
        </w:rPr>
        <w:t>giunto</w:t>
      </w:r>
      <w:r w:rsidR="00E57976" w:rsidRPr="004877D3">
        <w:rPr>
          <w:rFonts w:ascii="Arial" w:hAnsi="Arial" w:cs="Arial"/>
          <w:sz w:val="24"/>
          <w:szCs w:val="24"/>
        </w:rPr>
        <w:t xml:space="preserve"> dai Paesi dell’Unione Europea. </w:t>
      </w:r>
      <w:r w:rsidR="002D5986" w:rsidRPr="000B0001">
        <w:rPr>
          <w:rFonts w:ascii="Arial" w:hAnsi="Arial" w:cs="Arial"/>
          <w:sz w:val="24"/>
          <w:szCs w:val="24"/>
        </w:rPr>
        <w:t>La</w:t>
      </w:r>
      <w:r w:rsidR="00A24FA2" w:rsidRPr="000B0001">
        <w:rPr>
          <w:rFonts w:ascii="Arial" w:hAnsi="Arial" w:cs="Arial"/>
          <w:sz w:val="24"/>
          <w:szCs w:val="24"/>
        </w:rPr>
        <w:t xml:space="preserve"> Francia </w:t>
      </w:r>
      <w:r w:rsidR="002D5986" w:rsidRPr="000B0001">
        <w:rPr>
          <w:rFonts w:ascii="Arial" w:hAnsi="Arial" w:cs="Arial"/>
          <w:sz w:val="24"/>
          <w:szCs w:val="24"/>
        </w:rPr>
        <w:t xml:space="preserve">si conferma Paese leader </w:t>
      </w:r>
      <w:r w:rsidR="00A24FA2" w:rsidRPr="000B0001">
        <w:rPr>
          <w:rFonts w:ascii="Arial" w:hAnsi="Arial" w:cs="Arial"/>
          <w:sz w:val="24"/>
          <w:szCs w:val="24"/>
        </w:rPr>
        <w:t>nella classifica dei principali fornitori UE</w:t>
      </w:r>
      <w:r w:rsidR="000B0001" w:rsidRPr="000B0001">
        <w:rPr>
          <w:rFonts w:ascii="Arial" w:hAnsi="Arial" w:cs="Arial"/>
          <w:sz w:val="24"/>
          <w:szCs w:val="24"/>
        </w:rPr>
        <w:t xml:space="preserve"> agroalimentari</w:t>
      </w:r>
      <w:r w:rsidR="00A24FA2" w:rsidRPr="000B0001">
        <w:rPr>
          <w:rFonts w:ascii="Arial" w:hAnsi="Arial" w:cs="Arial"/>
          <w:sz w:val="24"/>
          <w:szCs w:val="24"/>
        </w:rPr>
        <w:t xml:space="preserve"> dell’Italia. </w:t>
      </w:r>
      <w:r w:rsidR="00480F21" w:rsidRPr="000B0001">
        <w:rPr>
          <w:rFonts w:ascii="Arial" w:hAnsi="Arial" w:cs="Arial"/>
          <w:sz w:val="24"/>
          <w:szCs w:val="24"/>
        </w:rPr>
        <w:t>G</w:t>
      </w:r>
      <w:r w:rsidR="00A24FA2" w:rsidRPr="000B0001">
        <w:rPr>
          <w:rFonts w:ascii="Arial" w:hAnsi="Arial" w:cs="Arial"/>
          <w:sz w:val="24"/>
          <w:szCs w:val="24"/>
        </w:rPr>
        <w:t xml:space="preserve">li arrivi da oltralpe sono valsi </w:t>
      </w:r>
      <w:r w:rsidR="00A46CF5">
        <w:rPr>
          <w:rFonts w:ascii="Arial" w:hAnsi="Arial" w:cs="Arial"/>
          <w:sz w:val="24"/>
          <w:szCs w:val="24"/>
        </w:rPr>
        <w:t>circa 471 milioni</w:t>
      </w:r>
      <w:r w:rsidR="00510173" w:rsidRPr="000B0001">
        <w:rPr>
          <w:rFonts w:ascii="Arial" w:hAnsi="Arial" w:cs="Arial"/>
          <w:sz w:val="24"/>
          <w:szCs w:val="24"/>
        </w:rPr>
        <w:t xml:space="preserve"> </w:t>
      </w:r>
      <w:r w:rsidR="00A24FA2" w:rsidRPr="000B0001">
        <w:rPr>
          <w:rFonts w:ascii="Arial" w:hAnsi="Arial" w:cs="Arial"/>
          <w:sz w:val="24"/>
          <w:szCs w:val="24"/>
        </w:rPr>
        <w:t xml:space="preserve">di </w:t>
      </w:r>
      <w:r w:rsidR="00A24FA2" w:rsidRPr="000B0001">
        <w:rPr>
          <w:rFonts w:ascii="Arial" w:hAnsi="Arial" w:cs="Arial"/>
          <w:sz w:val="24"/>
          <w:szCs w:val="24"/>
        </w:rPr>
        <w:lastRenderedPageBreak/>
        <w:t>euro</w:t>
      </w:r>
      <w:r w:rsidR="00510173" w:rsidRPr="000B0001">
        <w:rPr>
          <w:rFonts w:ascii="Arial" w:hAnsi="Arial" w:cs="Arial"/>
          <w:sz w:val="24"/>
          <w:szCs w:val="24"/>
        </w:rPr>
        <w:t xml:space="preserve"> (1</w:t>
      </w:r>
      <w:r w:rsidR="00A46CF5">
        <w:rPr>
          <w:rFonts w:ascii="Arial" w:hAnsi="Arial" w:cs="Arial"/>
          <w:sz w:val="24"/>
          <w:szCs w:val="24"/>
        </w:rPr>
        <w:t>3</w:t>
      </w:r>
      <w:r w:rsidR="00510173" w:rsidRPr="000B0001">
        <w:rPr>
          <w:rFonts w:ascii="Arial" w:hAnsi="Arial" w:cs="Arial"/>
          <w:sz w:val="24"/>
          <w:szCs w:val="24"/>
        </w:rPr>
        <w:t>% del totale)</w:t>
      </w:r>
      <w:r w:rsidR="00A24FA2" w:rsidRPr="000B0001">
        <w:rPr>
          <w:rFonts w:ascii="Arial" w:hAnsi="Arial" w:cs="Arial"/>
          <w:sz w:val="24"/>
          <w:szCs w:val="24"/>
        </w:rPr>
        <w:t xml:space="preserve"> </w:t>
      </w:r>
      <w:r w:rsidR="00510173" w:rsidRPr="000B0001">
        <w:rPr>
          <w:rFonts w:ascii="Arial" w:hAnsi="Arial" w:cs="Arial"/>
          <w:sz w:val="24"/>
          <w:szCs w:val="24"/>
        </w:rPr>
        <w:t xml:space="preserve">con una crescita </w:t>
      </w:r>
      <w:r w:rsidR="000B0001" w:rsidRPr="000B0001">
        <w:rPr>
          <w:rFonts w:ascii="Arial" w:hAnsi="Arial" w:cs="Arial"/>
          <w:sz w:val="24"/>
          <w:szCs w:val="24"/>
        </w:rPr>
        <w:t xml:space="preserve">particolarmente pronunciata </w:t>
      </w:r>
      <w:r w:rsidR="009632F3">
        <w:rPr>
          <w:rFonts w:ascii="Arial" w:hAnsi="Arial" w:cs="Arial"/>
          <w:sz w:val="24"/>
          <w:szCs w:val="24"/>
        </w:rPr>
        <w:t>s</w:t>
      </w:r>
      <w:r w:rsidR="00A46CF5">
        <w:rPr>
          <w:rFonts w:ascii="Arial" w:hAnsi="Arial" w:cs="Arial"/>
          <w:sz w:val="24"/>
          <w:szCs w:val="24"/>
        </w:rPr>
        <w:t>ul lato dei prodotti agricoli (4.7</w:t>
      </w:r>
      <w:r w:rsidR="009632F3">
        <w:rPr>
          <w:rFonts w:ascii="Arial" w:hAnsi="Arial" w:cs="Arial"/>
          <w:sz w:val="24"/>
          <w:szCs w:val="24"/>
        </w:rPr>
        <w:t>%) mentre, sul fronte alimentare</w:t>
      </w:r>
      <w:r w:rsidR="000B0001" w:rsidRPr="000B0001">
        <w:rPr>
          <w:rFonts w:ascii="Arial" w:hAnsi="Arial" w:cs="Arial"/>
          <w:sz w:val="24"/>
          <w:szCs w:val="24"/>
        </w:rPr>
        <w:t xml:space="preserve">, l’Istat ha rilevato una dinamica annua </w:t>
      </w:r>
      <w:r w:rsidR="00A46CF5">
        <w:rPr>
          <w:rFonts w:ascii="Arial" w:hAnsi="Arial" w:cs="Arial"/>
          <w:sz w:val="24"/>
          <w:szCs w:val="24"/>
        </w:rPr>
        <w:t>positiva pari al 2.9</w:t>
      </w:r>
      <w:r w:rsidR="009632F3">
        <w:rPr>
          <w:rFonts w:ascii="Arial" w:hAnsi="Arial" w:cs="Arial"/>
          <w:sz w:val="24"/>
          <w:szCs w:val="24"/>
        </w:rPr>
        <w:t>%</w:t>
      </w:r>
      <w:r w:rsidR="000B0001" w:rsidRPr="000B0001">
        <w:rPr>
          <w:rFonts w:ascii="Arial" w:hAnsi="Arial" w:cs="Arial"/>
          <w:sz w:val="24"/>
          <w:szCs w:val="24"/>
        </w:rPr>
        <w:t>.</w:t>
      </w:r>
      <w:r w:rsidR="000B0001">
        <w:rPr>
          <w:rFonts w:ascii="Arial" w:hAnsi="Arial" w:cs="Arial"/>
          <w:sz w:val="24"/>
          <w:szCs w:val="24"/>
        </w:rPr>
        <w:t xml:space="preserve"> </w:t>
      </w:r>
      <w:r w:rsidR="002D5986" w:rsidRPr="000B0001">
        <w:rPr>
          <w:rFonts w:ascii="Arial" w:hAnsi="Arial" w:cs="Arial"/>
          <w:sz w:val="24"/>
          <w:szCs w:val="24"/>
        </w:rPr>
        <w:t>Leggermente al di sotto dei valori francesi, si è collocata la Germania che ha spedito verso l’Italia</w:t>
      </w:r>
      <w:r w:rsidR="00D06A65">
        <w:rPr>
          <w:rFonts w:ascii="Arial" w:hAnsi="Arial" w:cs="Arial"/>
          <w:sz w:val="24"/>
          <w:szCs w:val="24"/>
        </w:rPr>
        <w:t xml:space="preserve"> </w:t>
      </w:r>
      <w:r w:rsidR="00A46CF5">
        <w:rPr>
          <w:rFonts w:ascii="Arial" w:hAnsi="Arial" w:cs="Arial"/>
          <w:sz w:val="24"/>
          <w:szCs w:val="24"/>
        </w:rPr>
        <w:t xml:space="preserve">circa 459 milioni </w:t>
      </w:r>
      <w:r w:rsidR="000B0001">
        <w:rPr>
          <w:rFonts w:ascii="Arial" w:hAnsi="Arial" w:cs="Arial"/>
          <w:sz w:val="24"/>
          <w:szCs w:val="24"/>
        </w:rPr>
        <w:t>di euro (</w:t>
      </w:r>
      <w:r w:rsidR="00A46CF5">
        <w:rPr>
          <w:rFonts w:ascii="Arial" w:hAnsi="Arial" w:cs="Arial"/>
          <w:sz w:val="24"/>
          <w:szCs w:val="24"/>
        </w:rPr>
        <w:t>12</w:t>
      </w:r>
      <w:r w:rsidR="000B0001" w:rsidRPr="000B0001">
        <w:rPr>
          <w:rFonts w:ascii="Arial" w:hAnsi="Arial" w:cs="Arial"/>
          <w:sz w:val="24"/>
          <w:szCs w:val="24"/>
        </w:rPr>
        <w:t>% del totale</w:t>
      </w:r>
      <w:r w:rsidR="000B0001">
        <w:rPr>
          <w:rFonts w:ascii="Arial" w:hAnsi="Arial" w:cs="Arial"/>
          <w:sz w:val="24"/>
          <w:szCs w:val="24"/>
        </w:rPr>
        <w:t>) tra prodotti agricoli, cibi e bevande</w:t>
      </w:r>
      <w:r w:rsidR="002D5986" w:rsidRPr="000B0001">
        <w:rPr>
          <w:rFonts w:ascii="Arial" w:hAnsi="Arial" w:cs="Arial"/>
          <w:sz w:val="24"/>
          <w:szCs w:val="24"/>
        </w:rPr>
        <w:t>. A seguire,</w:t>
      </w:r>
      <w:r w:rsidR="000B0001" w:rsidRPr="000B0001">
        <w:rPr>
          <w:rFonts w:ascii="Arial" w:hAnsi="Arial" w:cs="Arial"/>
          <w:sz w:val="24"/>
          <w:szCs w:val="24"/>
        </w:rPr>
        <w:t xml:space="preserve"> tra i principali fornitori dell’Unione Europea,</w:t>
      </w:r>
      <w:r w:rsidR="002D5986" w:rsidRPr="000B0001">
        <w:rPr>
          <w:rFonts w:ascii="Arial" w:hAnsi="Arial" w:cs="Arial"/>
          <w:sz w:val="24"/>
          <w:szCs w:val="24"/>
        </w:rPr>
        <w:t xml:space="preserve"> i prodotti agroalimentari importati dalla Spagna</w:t>
      </w:r>
      <w:r w:rsidR="00D06A65">
        <w:rPr>
          <w:rFonts w:ascii="Arial" w:hAnsi="Arial" w:cs="Arial"/>
          <w:sz w:val="24"/>
          <w:szCs w:val="24"/>
        </w:rPr>
        <w:t xml:space="preserve"> il cui valore è stato pari a </w:t>
      </w:r>
      <w:r w:rsidR="00A46CF5">
        <w:rPr>
          <w:rFonts w:ascii="Arial" w:hAnsi="Arial" w:cs="Arial"/>
          <w:sz w:val="24"/>
          <w:szCs w:val="24"/>
        </w:rPr>
        <w:t>circa 398 milioni</w:t>
      </w:r>
      <w:r w:rsidR="002D5986" w:rsidRPr="000B0001">
        <w:rPr>
          <w:rFonts w:ascii="Arial" w:hAnsi="Arial" w:cs="Arial"/>
          <w:sz w:val="24"/>
          <w:szCs w:val="24"/>
        </w:rPr>
        <w:t xml:space="preserve"> </w:t>
      </w:r>
      <w:r w:rsidR="00A46CF5">
        <w:rPr>
          <w:rFonts w:ascii="Arial" w:hAnsi="Arial" w:cs="Arial"/>
          <w:sz w:val="24"/>
          <w:szCs w:val="24"/>
        </w:rPr>
        <w:t>con una marcata crescita delle importazioni di beni alimentari che rispetto allo stesso periodo di rilevazione dell’anno passato hanno registrato una crescita pari al 16.5%</w:t>
      </w:r>
      <w:r w:rsidR="00510173" w:rsidRPr="000B0001">
        <w:rPr>
          <w:rFonts w:ascii="Arial" w:hAnsi="Arial" w:cs="Arial"/>
          <w:sz w:val="24"/>
          <w:szCs w:val="24"/>
        </w:rPr>
        <w:t>.</w:t>
      </w:r>
      <w:r w:rsidR="0094200D" w:rsidRPr="000B0001">
        <w:rPr>
          <w:rFonts w:ascii="Arial" w:hAnsi="Arial" w:cs="Arial"/>
          <w:sz w:val="24"/>
          <w:szCs w:val="24"/>
        </w:rPr>
        <w:t xml:space="preserve"> </w:t>
      </w:r>
      <w:r w:rsidR="00E57976" w:rsidRPr="000B0001">
        <w:rPr>
          <w:rFonts w:ascii="Arial" w:hAnsi="Arial" w:cs="Arial"/>
          <w:sz w:val="24"/>
          <w:szCs w:val="24"/>
        </w:rPr>
        <w:t xml:space="preserve">Gli acquisti provenienti dai territori </w:t>
      </w:r>
      <w:r w:rsidR="005B28E2" w:rsidRPr="000B0001">
        <w:rPr>
          <w:rFonts w:ascii="Arial" w:hAnsi="Arial" w:cs="Arial"/>
          <w:sz w:val="24"/>
          <w:szCs w:val="24"/>
        </w:rPr>
        <w:t>del Sud est asiatico</w:t>
      </w:r>
      <w:r w:rsidR="002D5986" w:rsidRPr="000B0001">
        <w:rPr>
          <w:rFonts w:ascii="Arial" w:hAnsi="Arial" w:cs="Arial"/>
          <w:sz w:val="24"/>
          <w:szCs w:val="24"/>
        </w:rPr>
        <w:t>,</w:t>
      </w:r>
      <w:r w:rsidR="00510173" w:rsidRPr="000B0001">
        <w:rPr>
          <w:rFonts w:ascii="Arial" w:hAnsi="Arial" w:cs="Arial"/>
          <w:sz w:val="24"/>
          <w:szCs w:val="24"/>
        </w:rPr>
        <w:t xml:space="preserve"> dai Paesi europei</w:t>
      </w:r>
      <w:r w:rsidR="000B0001" w:rsidRPr="000B0001">
        <w:rPr>
          <w:rFonts w:ascii="Arial" w:hAnsi="Arial" w:cs="Arial"/>
          <w:sz w:val="24"/>
          <w:szCs w:val="24"/>
        </w:rPr>
        <w:t xml:space="preserve"> non UE</w:t>
      </w:r>
      <w:r w:rsidR="002D5986" w:rsidRPr="000B0001">
        <w:rPr>
          <w:rFonts w:ascii="Arial" w:hAnsi="Arial" w:cs="Arial"/>
          <w:sz w:val="24"/>
          <w:szCs w:val="24"/>
        </w:rPr>
        <w:t xml:space="preserve"> e da quelli dell’America latina (</w:t>
      </w:r>
      <w:proofErr w:type="spellStart"/>
      <w:r w:rsidR="002D5986" w:rsidRPr="000B0001">
        <w:rPr>
          <w:rFonts w:ascii="Arial" w:hAnsi="Arial" w:cs="Arial"/>
          <w:sz w:val="24"/>
          <w:szCs w:val="24"/>
        </w:rPr>
        <w:t>Mercosur</w:t>
      </w:r>
      <w:proofErr w:type="spellEnd"/>
      <w:r w:rsidR="002D5986" w:rsidRPr="000B0001">
        <w:rPr>
          <w:rFonts w:ascii="Arial" w:hAnsi="Arial" w:cs="Arial"/>
          <w:sz w:val="24"/>
          <w:szCs w:val="24"/>
        </w:rPr>
        <w:t>)</w:t>
      </w:r>
      <w:r w:rsidR="00510173" w:rsidRPr="000B0001">
        <w:rPr>
          <w:rFonts w:ascii="Arial" w:hAnsi="Arial" w:cs="Arial"/>
          <w:sz w:val="24"/>
          <w:szCs w:val="24"/>
        </w:rPr>
        <w:t xml:space="preserve">, </w:t>
      </w:r>
      <w:r w:rsidRPr="000B0001">
        <w:rPr>
          <w:rFonts w:ascii="Arial" w:hAnsi="Arial" w:cs="Arial"/>
          <w:sz w:val="24"/>
          <w:szCs w:val="24"/>
        </w:rPr>
        <w:t xml:space="preserve">con </w:t>
      </w:r>
      <w:r w:rsidR="0062615B" w:rsidRPr="000B0001">
        <w:rPr>
          <w:rFonts w:ascii="Arial" w:hAnsi="Arial" w:cs="Arial"/>
          <w:sz w:val="24"/>
          <w:szCs w:val="24"/>
        </w:rPr>
        <w:t>un valore</w:t>
      </w:r>
      <w:r w:rsidR="000B0001" w:rsidRPr="000B0001">
        <w:rPr>
          <w:rFonts w:ascii="Arial" w:hAnsi="Arial" w:cs="Arial"/>
          <w:sz w:val="24"/>
          <w:szCs w:val="24"/>
        </w:rPr>
        <w:t xml:space="preserve"> assoluto cumulato</w:t>
      </w:r>
      <w:r w:rsidR="00510173" w:rsidRPr="000B0001">
        <w:rPr>
          <w:rFonts w:ascii="Arial" w:hAnsi="Arial" w:cs="Arial"/>
          <w:sz w:val="24"/>
          <w:szCs w:val="24"/>
        </w:rPr>
        <w:t xml:space="preserve"> </w:t>
      </w:r>
      <w:r w:rsidR="0062615B" w:rsidRPr="000B0001">
        <w:rPr>
          <w:rFonts w:ascii="Arial" w:hAnsi="Arial" w:cs="Arial"/>
          <w:sz w:val="24"/>
          <w:szCs w:val="24"/>
        </w:rPr>
        <w:t>pari a</w:t>
      </w:r>
      <w:r w:rsidR="00104760" w:rsidRPr="000B0001">
        <w:rPr>
          <w:rFonts w:ascii="Arial" w:hAnsi="Arial" w:cs="Arial"/>
          <w:sz w:val="24"/>
          <w:szCs w:val="24"/>
        </w:rPr>
        <w:t xml:space="preserve"> </w:t>
      </w:r>
      <w:r w:rsidR="00A46CF5">
        <w:rPr>
          <w:rFonts w:ascii="Arial" w:hAnsi="Arial" w:cs="Arial"/>
          <w:sz w:val="24"/>
          <w:szCs w:val="24"/>
        </w:rPr>
        <w:t xml:space="preserve">circa </w:t>
      </w:r>
      <w:r w:rsidR="00542814">
        <w:rPr>
          <w:rFonts w:ascii="Arial" w:hAnsi="Arial" w:cs="Arial"/>
          <w:sz w:val="24"/>
          <w:szCs w:val="24"/>
        </w:rPr>
        <w:t>6</w:t>
      </w:r>
      <w:r w:rsidR="00A46CF5">
        <w:rPr>
          <w:rFonts w:ascii="Arial" w:hAnsi="Arial" w:cs="Arial"/>
          <w:sz w:val="24"/>
          <w:szCs w:val="24"/>
        </w:rPr>
        <w:t>00 milioni</w:t>
      </w:r>
      <w:r w:rsidR="0062615B" w:rsidRPr="000B0001">
        <w:rPr>
          <w:rFonts w:ascii="Arial" w:hAnsi="Arial" w:cs="Arial"/>
          <w:sz w:val="24"/>
          <w:szCs w:val="24"/>
        </w:rPr>
        <w:t xml:space="preserve"> di euro,</w:t>
      </w:r>
      <w:r w:rsidR="00E57976" w:rsidRPr="000B0001">
        <w:rPr>
          <w:rFonts w:ascii="Arial" w:hAnsi="Arial" w:cs="Arial"/>
          <w:sz w:val="24"/>
          <w:szCs w:val="24"/>
        </w:rPr>
        <w:t xml:space="preserve"> hanno pesato </w:t>
      </w:r>
      <w:r w:rsidR="002D5986" w:rsidRPr="000B0001">
        <w:rPr>
          <w:rFonts w:ascii="Arial" w:hAnsi="Arial" w:cs="Arial"/>
          <w:sz w:val="24"/>
          <w:szCs w:val="24"/>
        </w:rPr>
        <w:t xml:space="preserve">complessivamente </w:t>
      </w:r>
      <w:r w:rsidR="00E57976" w:rsidRPr="000B0001">
        <w:rPr>
          <w:rFonts w:ascii="Arial" w:hAnsi="Arial" w:cs="Arial"/>
          <w:sz w:val="24"/>
          <w:szCs w:val="24"/>
        </w:rPr>
        <w:t xml:space="preserve">il </w:t>
      </w:r>
      <w:r w:rsidR="00A46CF5">
        <w:rPr>
          <w:rFonts w:ascii="Arial" w:hAnsi="Arial" w:cs="Arial"/>
          <w:sz w:val="24"/>
          <w:szCs w:val="24"/>
        </w:rPr>
        <w:t>14</w:t>
      </w:r>
      <w:r w:rsidR="00E57976" w:rsidRPr="000B0001">
        <w:rPr>
          <w:rFonts w:ascii="Arial" w:hAnsi="Arial" w:cs="Arial"/>
          <w:sz w:val="24"/>
          <w:szCs w:val="24"/>
        </w:rPr>
        <w:t>% sulla distribuzione</w:t>
      </w:r>
      <w:r w:rsidR="00763604" w:rsidRPr="000B0001">
        <w:rPr>
          <w:rFonts w:ascii="Arial" w:hAnsi="Arial" w:cs="Arial"/>
          <w:sz w:val="24"/>
          <w:szCs w:val="24"/>
        </w:rPr>
        <w:t xml:space="preserve"> degli arrivi</w:t>
      </w:r>
      <w:r w:rsidR="00510173" w:rsidRPr="000B0001">
        <w:rPr>
          <w:rFonts w:ascii="Arial" w:hAnsi="Arial" w:cs="Arial"/>
          <w:sz w:val="24"/>
          <w:szCs w:val="24"/>
        </w:rPr>
        <w:t>.</w:t>
      </w:r>
      <w:r w:rsidR="00510173" w:rsidRPr="000B0001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0B0001" w:rsidRPr="000B0001">
        <w:rPr>
          <w:rFonts w:ascii="Arial" w:hAnsi="Arial" w:cs="Arial"/>
          <w:sz w:val="24"/>
          <w:szCs w:val="24"/>
          <w:shd w:val="clear" w:color="auto" w:fill="FFFFFF" w:themeFill="background1"/>
        </w:rPr>
        <w:t>P</w:t>
      </w:r>
      <w:r w:rsidR="00510173" w:rsidRPr="000B0001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er </w:t>
      </w:r>
      <w:r w:rsidR="002D5986" w:rsidRPr="000B0001">
        <w:rPr>
          <w:rFonts w:ascii="Arial" w:hAnsi="Arial" w:cs="Arial"/>
          <w:sz w:val="24"/>
          <w:szCs w:val="24"/>
          <w:shd w:val="clear" w:color="auto" w:fill="FFFFFF" w:themeFill="background1"/>
        </w:rPr>
        <w:t>tali gruppi di Paesi</w:t>
      </w:r>
      <w:r w:rsidR="00A46CF5">
        <w:rPr>
          <w:rFonts w:ascii="Arial" w:hAnsi="Arial" w:cs="Arial"/>
          <w:sz w:val="24"/>
          <w:szCs w:val="24"/>
          <w:shd w:val="clear" w:color="auto" w:fill="FFFFFF" w:themeFill="background1"/>
        </w:rPr>
        <w:t>,</w:t>
      </w:r>
      <w:r w:rsidR="000B0001" w:rsidRPr="000B0001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94200D" w:rsidRPr="000B0001">
        <w:rPr>
          <w:rFonts w:ascii="Arial" w:hAnsi="Arial" w:cs="Arial"/>
          <w:sz w:val="24"/>
          <w:szCs w:val="24"/>
          <w:shd w:val="clear" w:color="auto" w:fill="FFFFFF" w:themeFill="background1"/>
        </w:rPr>
        <w:t>l’Istituto nazionale di Statistica ha rilevato una contrazione annua particolarmente marcata sul fronte dell’agricoltura (</w:t>
      </w:r>
      <w:r w:rsidR="002D5986" w:rsidRPr="000B0001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in particolare </w:t>
      </w:r>
      <w:r w:rsidR="000B0001" w:rsidRPr="000B0001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l’import dal </w:t>
      </w:r>
      <w:proofErr w:type="spellStart"/>
      <w:r w:rsidR="0094200D" w:rsidRPr="000B0001">
        <w:rPr>
          <w:rFonts w:ascii="Arial" w:hAnsi="Arial" w:cs="Arial"/>
          <w:sz w:val="24"/>
          <w:szCs w:val="24"/>
          <w:shd w:val="clear" w:color="auto" w:fill="FFFFFF" w:themeFill="background1"/>
        </w:rPr>
        <w:t>Mercosur</w:t>
      </w:r>
      <w:proofErr w:type="spellEnd"/>
      <w:r w:rsidR="002D5986" w:rsidRPr="000B0001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-1</w:t>
      </w:r>
      <w:r w:rsidR="00A46CF5">
        <w:rPr>
          <w:rFonts w:ascii="Arial" w:hAnsi="Arial" w:cs="Arial"/>
          <w:sz w:val="24"/>
          <w:szCs w:val="24"/>
          <w:shd w:val="clear" w:color="auto" w:fill="FFFFFF" w:themeFill="background1"/>
        </w:rPr>
        <w:t>8.3</w:t>
      </w:r>
      <w:r w:rsidR="002D5986" w:rsidRPr="000B0001">
        <w:rPr>
          <w:rFonts w:ascii="Arial" w:hAnsi="Arial" w:cs="Arial"/>
          <w:sz w:val="24"/>
          <w:szCs w:val="24"/>
          <w:shd w:val="clear" w:color="auto" w:fill="FFFFFF" w:themeFill="background1"/>
        </w:rPr>
        <w:t>%</w:t>
      </w:r>
      <w:r w:rsidR="00A46CF5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, </w:t>
      </w:r>
      <w:r w:rsidR="000B0001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dal </w:t>
      </w:r>
      <w:r w:rsidR="005B1613">
        <w:rPr>
          <w:rFonts w:ascii="Arial" w:hAnsi="Arial" w:cs="Arial"/>
          <w:sz w:val="24"/>
          <w:szCs w:val="24"/>
          <w:shd w:val="clear" w:color="auto" w:fill="FFFFFF" w:themeFill="background1"/>
        </w:rPr>
        <w:t>sud-</w:t>
      </w:r>
      <w:r w:rsidR="0094200D" w:rsidRPr="000B0001">
        <w:rPr>
          <w:rFonts w:ascii="Arial" w:hAnsi="Arial" w:cs="Arial"/>
          <w:sz w:val="24"/>
          <w:szCs w:val="24"/>
          <w:shd w:val="clear" w:color="auto" w:fill="FFFFFF" w:themeFill="background1"/>
        </w:rPr>
        <w:t>est asiatico</w:t>
      </w:r>
      <w:r w:rsidR="00A46CF5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-9.6</w:t>
      </w:r>
      <w:r w:rsidR="002D5986" w:rsidRPr="000B0001">
        <w:rPr>
          <w:rFonts w:ascii="Arial" w:hAnsi="Arial" w:cs="Arial"/>
          <w:sz w:val="24"/>
          <w:szCs w:val="24"/>
          <w:shd w:val="clear" w:color="auto" w:fill="FFFFFF" w:themeFill="background1"/>
        </w:rPr>
        <w:t>%</w:t>
      </w:r>
      <w:r w:rsidR="00A46CF5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e dai Paesi europei extra UE -10.5%</w:t>
      </w:r>
      <w:r w:rsidR="0094200D" w:rsidRPr="000B0001">
        <w:rPr>
          <w:rFonts w:ascii="Arial" w:hAnsi="Arial" w:cs="Arial"/>
          <w:sz w:val="24"/>
          <w:szCs w:val="24"/>
          <w:shd w:val="clear" w:color="auto" w:fill="FFFFFF" w:themeFill="background1"/>
        </w:rPr>
        <w:t>)</w:t>
      </w:r>
      <w:r w:rsidR="005B1613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. Sono state rilevate, invece, variazioni positive per l’import di beni alimentari, eccezion fatta per il sud-est asiatico che </w:t>
      </w:r>
      <w:r w:rsidR="00D5550C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ha </w:t>
      </w:r>
      <w:r w:rsidR="005B1613">
        <w:rPr>
          <w:rFonts w:ascii="Arial" w:hAnsi="Arial" w:cs="Arial"/>
          <w:sz w:val="24"/>
          <w:szCs w:val="24"/>
          <w:shd w:val="clear" w:color="auto" w:fill="FFFFFF" w:themeFill="background1"/>
        </w:rPr>
        <w:t>subito una contrazione pari al -11.9% rispetto al 2018.</w:t>
      </w:r>
      <w:r w:rsidR="0094200D" w:rsidRPr="000B0001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E57976" w:rsidRPr="00DF6119">
        <w:rPr>
          <w:rFonts w:ascii="Arial" w:hAnsi="Arial" w:cs="Arial"/>
          <w:sz w:val="24"/>
          <w:szCs w:val="24"/>
          <w:shd w:val="clear" w:color="auto" w:fill="FFFFFF" w:themeFill="background1"/>
        </w:rPr>
        <w:t>Tra gli altri mercati</w:t>
      </w:r>
      <w:r w:rsidR="00ED4E15" w:rsidRPr="00DF6119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di approvvigionamento</w:t>
      </w:r>
      <w:r w:rsidR="00E57976" w:rsidRPr="00DF6119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D5550C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troviamo </w:t>
      </w:r>
      <w:r w:rsidR="00E57976" w:rsidRPr="00DF6119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i prodotti agroalimentari </w:t>
      </w:r>
      <w:r w:rsidR="00DF6119">
        <w:rPr>
          <w:rFonts w:ascii="Arial" w:hAnsi="Arial" w:cs="Arial"/>
          <w:sz w:val="24"/>
          <w:szCs w:val="24"/>
          <w:shd w:val="clear" w:color="auto" w:fill="FFFFFF" w:themeFill="background1"/>
        </w:rPr>
        <w:t>“</w:t>
      </w:r>
      <w:r w:rsidR="00E57976" w:rsidRPr="00DF6119">
        <w:rPr>
          <w:rFonts w:ascii="Arial" w:hAnsi="Arial" w:cs="Arial"/>
          <w:sz w:val="24"/>
          <w:szCs w:val="24"/>
          <w:shd w:val="clear" w:color="auto" w:fill="FFFFFF" w:themeFill="background1"/>
        </w:rPr>
        <w:t>Made in Usa</w:t>
      </w:r>
      <w:r w:rsidR="00DF6119">
        <w:rPr>
          <w:rFonts w:ascii="Arial" w:hAnsi="Arial" w:cs="Arial"/>
          <w:sz w:val="24"/>
          <w:szCs w:val="24"/>
          <w:shd w:val="clear" w:color="auto" w:fill="FFFFFF" w:themeFill="background1"/>
        </w:rPr>
        <w:t>”</w:t>
      </w:r>
      <w:r w:rsidR="00D5550C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che</w:t>
      </w:r>
      <w:r w:rsidR="005B1613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hanno rappresentato il 5</w:t>
      </w:r>
      <w:r w:rsidR="00E57976" w:rsidRPr="00DF6119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% del totale con un andamento tendenziale di </w:t>
      </w:r>
      <w:r w:rsidR="005B1613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forte </w:t>
      </w:r>
      <w:r w:rsidR="0094200D" w:rsidRPr="00DF6119">
        <w:rPr>
          <w:rFonts w:ascii="Arial" w:hAnsi="Arial" w:cs="Arial"/>
          <w:sz w:val="24"/>
          <w:szCs w:val="24"/>
          <w:shd w:val="clear" w:color="auto" w:fill="FFFFFF" w:themeFill="background1"/>
        </w:rPr>
        <w:t>espansione</w:t>
      </w:r>
      <w:r w:rsidR="000B0001" w:rsidRPr="00DF6119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sia</w:t>
      </w:r>
      <w:r w:rsidR="0094200D" w:rsidRPr="00DF6119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8D5814" w:rsidRPr="00DF6119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nella voce dei prodotti </w:t>
      </w:r>
      <w:r w:rsidR="005B1613">
        <w:rPr>
          <w:rFonts w:ascii="Arial" w:hAnsi="Arial" w:cs="Arial"/>
          <w:sz w:val="24"/>
          <w:szCs w:val="24"/>
          <w:shd w:val="clear" w:color="auto" w:fill="FFFFFF" w:themeFill="background1"/>
        </w:rPr>
        <w:t>agricoli</w:t>
      </w:r>
      <w:r w:rsidR="00DF6119" w:rsidRPr="00DF6119">
        <w:rPr>
          <w:rFonts w:ascii="Arial" w:hAnsi="Arial" w:cs="Arial"/>
          <w:sz w:val="24"/>
          <w:szCs w:val="24"/>
          <w:shd w:val="clear" w:color="auto" w:fill="FFFFFF" w:themeFill="background1"/>
        </w:rPr>
        <w:t>,</w:t>
      </w:r>
      <w:r w:rsidR="005B1613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cresciuti rispetto al 2018 di ben l’86.3%</w:t>
      </w:r>
      <w:r w:rsidR="00DF6119" w:rsidRPr="00DF6119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sia</w:t>
      </w:r>
      <w:r w:rsidR="005B1613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in quella dei prodotti alimentari</w:t>
      </w:r>
      <w:r w:rsidR="00DF6119" w:rsidRPr="00DF6119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5B1613">
        <w:rPr>
          <w:rFonts w:ascii="Arial" w:hAnsi="Arial" w:cs="Arial"/>
          <w:sz w:val="24"/>
          <w:szCs w:val="24"/>
          <w:shd w:val="clear" w:color="auto" w:fill="FFFFFF" w:themeFill="background1"/>
        </w:rPr>
        <w:t>(+43.8</w:t>
      </w:r>
      <w:r w:rsidR="00DF6119" w:rsidRPr="00DF6119">
        <w:rPr>
          <w:rFonts w:ascii="Arial" w:hAnsi="Arial" w:cs="Arial"/>
          <w:sz w:val="24"/>
          <w:szCs w:val="24"/>
          <w:shd w:val="clear" w:color="auto" w:fill="FFFFFF" w:themeFill="background1"/>
        </w:rPr>
        <w:t>%)</w:t>
      </w:r>
      <w:r w:rsidR="008D5814" w:rsidRPr="00DF6119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. </w:t>
      </w:r>
      <w:r w:rsidR="00A61F1D" w:rsidRPr="00DF6119">
        <w:rPr>
          <w:rFonts w:ascii="Arial" w:hAnsi="Arial" w:cs="Arial"/>
          <w:sz w:val="24"/>
          <w:szCs w:val="24"/>
          <w:shd w:val="clear" w:color="auto" w:fill="FFFFFF" w:themeFill="background1"/>
        </w:rPr>
        <w:t>U</w:t>
      </w:r>
      <w:r w:rsidR="00E57976" w:rsidRPr="00DF6119">
        <w:rPr>
          <w:rFonts w:ascii="Arial" w:hAnsi="Arial" w:cs="Arial"/>
          <w:sz w:val="24"/>
          <w:szCs w:val="24"/>
          <w:shd w:val="clear" w:color="auto" w:fill="FFFFFF" w:themeFill="background1"/>
        </w:rPr>
        <w:t>no sguardo,</w:t>
      </w:r>
      <w:r w:rsidR="00104760" w:rsidRPr="00DF6119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infine, al mercato di </w:t>
      </w:r>
      <w:r w:rsidR="0094200D" w:rsidRPr="00DF6119">
        <w:rPr>
          <w:rFonts w:ascii="Arial" w:hAnsi="Arial" w:cs="Arial"/>
          <w:sz w:val="24"/>
          <w:szCs w:val="24"/>
          <w:shd w:val="clear" w:color="auto" w:fill="FFFFFF" w:themeFill="background1"/>
        </w:rPr>
        <w:t>fornitura</w:t>
      </w:r>
      <w:r w:rsidR="00104760" w:rsidRPr="00DF6119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cinese</w:t>
      </w:r>
      <w:r w:rsidR="00A53720" w:rsidRPr="00DF6119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la cui incidenza sulle importazioni totali </w:t>
      </w:r>
      <w:r w:rsidR="000D7EFB" w:rsidRPr="00DF6119">
        <w:rPr>
          <w:rFonts w:ascii="Arial" w:hAnsi="Arial" w:cs="Arial"/>
          <w:sz w:val="24"/>
          <w:szCs w:val="24"/>
          <w:shd w:val="clear" w:color="auto" w:fill="FFFFFF" w:themeFill="background1"/>
        </w:rPr>
        <w:t>è stata</w:t>
      </w:r>
      <w:r w:rsidR="0094200D" w:rsidRPr="00DF6119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5B1613">
        <w:rPr>
          <w:rFonts w:ascii="Arial" w:hAnsi="Arial" w:cs="Arial"/>
          <w:sz w:val="24"/>
          <w:szCs w:val="24"/>
          <w:shd w:val="clear" w:color="auto" w:fill="FFFFFF" w:themeFill="background1"/>
        </w:rPr>
        <w:t>del 2</w:t>
      </w:r>
      <w:r w:rsidR="00A53720" w:rsidRPr="00DF6119">
        <w:rPr>
          <w:rFonts w:ascii="Arial" w:hAnsi="Arial" w:cs="Arial"/>
          <w:sz w:val="24"/>
          <w:szCs w:val="24"/>
          <w:shd w:val="clear" w:color="auto" w:fill="FFFFFF" w:themeFill="background1"/>
        </w:rPr>
        <w:t>%</w:t>
      </w:r>
      <w:r w:rsidRPr="00DF6119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5B1613">
        <w:rPr>
          <w:rFonts w:ascii="Arial" w:hAnsi="Arial" w:cs="Arial"/>
          <w:sz w:val="24"/>
          <w:szCs w:val="24"/>
          <w:shd w:val="clear" w:color="auto" w:fill="FFFFFF" w:themeFill="background1"/>
        </w:rPr>
        <w:t>(+25.4</w:t>
      </w:r>
      <w:r w:rsidR="00A53720" w:rsidRPr="00DF6119">
        <w:rPr>
          <w:rFonts w:ascii="Arial" w:hAnsi="Arial" w:cs="Arial"/>
          <w:sz w:val="24"/>
          <w:szCs w:val="24"/>
          <w:shd w:val="clear" w:color="auto" w:fill="FFFFFF" w:themeFill="background1"/>
        </w:rPr>
        <w:t>%</w:t>
      </w:r>
      <w:r w:rsidR="005B1613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le importazioni agricole e +7.8% quelle alimentari che avevano, invece, chiuso in negativo alla fine del 2018</w:t>
      </w:r>
      <w:r w:rsidR="00A53720" w:rsidRPr="00DF6119">
        <w:rPr>
          <w:rFonts w:ascii="Arial" w:hAnsi="Arial" w:cs="Arial"/>
          <w:sz w:val="24"/>
          <w:szCs w:val="24"/>
          <w:shd w:val="clear" w:color="auto" w:fill="FFFFFF" w:themeFill="background1"/>
        </w:rPr>
        <w:t>).</w:t>
      </w:r>
      <w:r w:rsidR="00A53720" w:rsidRPr="008D5814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</w:p>
    <w:p w:rsidR="005B1613" w:rsidRDefault="005B1613" w:rsidP="005326E4">
      <w:pPr>
        <w:spacing w:after="0"/>
        <w:jc w:val="center"/>
        <w:rPr>
          <w:noProof/>
          <w:lang w:eastAsia="it-IT"/>
        </w:rPr>
      </w:pPr>
    </w:p>
    <w:p w:rsidR="006970E4" w:rsidRPr="003462CC" w:rsidRDefault="00BB059B" w:rsidP="003462CC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3462CC">
        <w:rPr>
          <w:noProof/>
          <w:sz w:val="20"/>
          <w:lang w:eastAsia="it-IT"/>
        </w:rPr>
        <w:drawing>
          <wp:anchor distT="0" distB="0" distL="114300" distR="114300" simplePos="0" relativeHeight="251662336" behindDoc="0" locked="0" layoutInCell="1" allowOverlap="1" wp14:anchorId="156A4760" wp14:editId="2940E613">
            <wp:simplePos x="0" y="0"/>
            <wp:positionH relativeFrom="column">
              <wp:posOffset>2753360</wp:posOffset>
            </wp:positionH>
            <wp:positionV relativeFrom="paragraph">
              <wp:posOffset>272415</wp:posOffset>
            </wp:positionV>
            <wp:extent cx="3397250" cy="1866900"/>
            <wp:effectExtent l="0" t="0" r="0" b="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4CFB" w:rsidRPr="003462CC">
        <w:rPr>
          <w:rFonts w:ascii="Arial" w:hAnsi="Arial" w:cs="Arial"/>
          <w:i/>
          <w:noProof/>
          <w:szCs w:val="24"/>
          <w:lang w:eastAsia="it-IT"/>
        </w:rPr>
        <w:drawing>
          <wp:anchor distT="0" distB="0" distL="114300" distR="114300" simplePos="0" relativeHeight="251663360" behindDoc="0" locked="0" layoutInCell="1" allowOverlap="1" wp14:anchorId="045EB0B7" wp14:editId="3FAE1BB8">
            <wp:simplePos x="0" y="0"/>
            <wp:positionH relativeFrom="column">
              <wp:posOffset>16510</wp:posOffset>
            </wp:positionH>
            <wp:positionV relativeFrom="paragraph">
              <wp:posOffset>272415</wp:posOffset>
            </wp:positionV>
            <wp:extent cx="2736850" cy="1866900"/>
            <wp:effectExtent l="0" t="0" r="6350" b="0"/>
            <wp:wrapTopAndBottom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186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976" w:rsidRPr="003462CC">
        <w:rPr>
          <w:rFonts w:ascii="Arial" w:hAnsi="Arial" w:cs="Arial"/>
          <w:i/>
          <w:szCs w:val="24"/>
        </w:rPr>
        <w:t>Provenienza delle importazioni a</w:t>
      </w:r>
      <w:r w:rsidR="005B1613" w:rsidRPr="003462CC">
        <w:rPr>
          <w:rFonts w:ascii="Arial" w:hAnsi="Arial" w:cs="Arial"/>
          <w:i/>
          <w:szCs w:val="24"/>
        </w:rPr>
        <w:t>groalimentari italiane (gennaio 2019,</w:t>
      </w:r>
      <w:r w:rsidR="003462CC" w:rsidRPr="003462CC">
        <w:rPr>
          <w:rFonts w:ascii="Arial" w:hAnsi="Arial" w:cs="Arial"/>
          <w:i/>
          <w:szCs w:val="24"/>
        </w:rPr>
        <w:t xml:space="preserve"> </w:t>
      </w:r>
      <w:proofErr w:type="spellStart"/>
      <w:r w:rsidR="003462CC" w:rsidRPr="003462CC">
        <w:rPr>
          <w:rFonts w:ascii="Arial" w:hAnsi="Arial" w:cs="Arial"/>
          <w:i/>
          <w:szCs w:val="24"/>
        </w:rPr>
        <w:t>mld</w:t>
      </w:r>
      <w:proofErr w:type="spellEnd"/>
      <w:r w:rsidR="003462CC" w:rsidRPr="003462CC">
        <w:rPr>
          <w:rFonts w:ascii="Arial" w:hAnsi="Arial" w:cs="Arial"/>
          <w:i/>
          <w:szCs w:val="24"/>
        </w:rPr>
        <w:t xml:space="preserve"> di euro)</w:t>
      </w:r>
    </w:p>
    <w:p w:rsidR="00E57976" w:rsidRDefault="00E57976" w:rsidP="00464E13">
      <w:pPr>
        <w:tabs>
          <w:tab w:val="left" w:pos="1785"/>
        </w:tabs>
        <w:spacing w:after="60"/>
        <w:jc w:val="center"/>
        <w:rPr>
          <w:rFonts w:ascii="Arial" w:hAnsi="Arial" w:cs="Arial"/>
        </w:rPr>
      </w:pPr>
      <w:r w:rsidRPr="00ED4E15">
        <w:rPr>
          <w:rFonts w:ascii="Arial" w:hAnsi="Arial" w:cs="Arial"/>
        </w:rPr>
        <w:t>Fonte: Ufficio Studi Cia su dati Istat</w:t>
      </w:r>
    </w:p>
    <w:p w:rsidR="003462CC" w:rsidRPr="00ED4E15" w:rsidRDefault="003462CC" w:rsidP="00464E13">
      <w:pPr>
        <w:tabs>
          <w:tab w:val="left" w:pos="1785"/>
        </w:tabs>
        <w:spacing w:after="60"/>
        <w:jc w:val="center"/>
        <w:rPr>
          <w:rFonts w:ascii="Arial" w:hAnsi="Arial" w:cs="Arial"/>
        </w:rPr>
      </w:pPr>
    </w:p>
    <w:p w:rsidR="00CD3640" w:rsidRDefault="001D4B09" w:rsidP="00464E13">
      <w:pPr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r w:rsidRPr="00F85472">
        <w:rPr>
          <w:rFonts w:ascii="Arial" w:hAnsi="Arial" w:cs="Arial"/>
          <w:sz w:val="24"/>
          <w:szCs w:val="24"/>
        </w:rPr>
        <w:lastRenderedPageBreak/>
        <w:t xml:space="preserve">Riguardo </w:t>
      </w:r>
      <w:r w:rsidR="00E57976" w:rsidRPr="00F85472">
        <w:rPr>
          <w:rFonts w:ascii="Arial" w:hAnsi="Arial" w:cs="Arial"/>
          <w:sz w:val="24"/>
          <w:szCs w:val="24"/>
        </w:rPr>
        <w:t xml:space="preserve">ai principali </w:t>
      </w:r>
      <w:r w:rsidR="00E57976" w:rsidRPr="00F85472">
        <w:rPr>
          <w:rFonts w:ascii="Arial" w:hAnsi="Arial" w:cs="Arial"/>
          <w:sz w:val="24"/>
          <w:szCs w:val="24"/>
          <w:u w:val="single"/>
        </w:rPr>
        <w:t>mercati di sbocco</w:t>
      </w:r>
      <w:r w:rsidR="00D5550C">
        <w:rPr>
          <w:rFonts w:ascii="Arial" w:hAnsi="Arial" w:cs="Arial"/>
          <w:sz w:val="24"/>
          <w:szCs w:val="24"/>
        </w:rPr>
        <w:t>,</w:t>
      </w:r>
      <w:r w:rsidR="00F85472" w:rsidRPr="00F85472">
        <w:rPr>
          <w:rFonts w:ascii="Arial" w:hAnsi="Arial" w:cs="Arial"/>
          <w:sz w:val="24"/>
          <w:szCs w:val="24"/>
        </w:rPr>
        <w:t xml:space="preserve"> il </w:t>
      </w:r>
      <w:r w:rsidR="00E57976" w:rsidRPr="00F85472">
        <w:rPr>
          <w:rFonts w:ascii="Arial" w:hAnsi="Arial" w:cs="Arial"/>
          <w:sz w:val="24"/>
          <w:szCs w:val="24"/>
        </w:rPr>
        <w:t>6</w:t>
      </w:r>
      <w:r w:rsidR="00622E29">
        <w:rPr>
          <w:rFonts w:ascii="Arial" w:hAnsi="Arial" w:cs="Arial"/>
          <w:sz w:val="24"/>
          <w:szCs w:val="24"/>
        </w:rPr>
        <w:t>7</w:t>
      </w:r>
      <w:r w:rsidR="00E57976" w:rsidRPr="00F85472">
        <w:rPr>
          <w:rFonts w:ascii="Arial" w:hAnsi="Arial" w:cs="Arial"/>
          <w:sz w:val="24"/>
          <w:szCs w:val="24"/>
        </w:rPr>
        <w:t xml:space="preserve">% delle vendite estere, per un valore di </w:t>
      </w:r>
      <w:r w:rsidR="00622E29">
        <w:rPr>
          <w:rFonts w:ascii="Arial" w:hAnsi="Arial" w:cs="Arial"/>
          <w:sz w:val="24"/>
          <w:szCs w:val="24"/>
        </w:rPr>
        <w:t>2.2</w:t>
      </w:r>
      <w:r w:rsidR="00E57976" w:rsidRPr="00F85472">
        <w:rPr>
          <w:rFonts w:ascii="Arial" w:hAnsi="Arial" w:cs="Arial"/>
          <w:sz w:val="24"/>
          <w:szCs w:val="24"/>
        </w:rPr>
        <w:t xml:space="preserve"> miliardi di euro, sono state realizzate </w:t>
      </w:r>
      <w:r w:rsidR="00A61F1D" w:rsidRPr="00F85472">
        <w:rPr>
          <w:rFonts w:ascii="Arial" w:hAnsi="Arial" w:cs="Arial"/>
          <w:sz w:val="24"/>
          <w:szCs w:val="24"/>
        </w:rPr>
        <w:t>all’interno dell’area UE</w:t>
      </w:r>
      <w:r w:rsidR="00E57976" w:rsidRPr="00F85472">
        <w:rPr>
          <w:rFonts w:ascii="Arial" w:hAnsi="Arial" w:cs="Arial"/>
          <w:sz w:val="24"/>
          <w:szCs w:val="24"/>
        </w:rPr>
        <w:t xml:space="preserve">. </w:t>
      </w:r>
      <w:r w:rsidR="004704D0" w:rsidRPr="00F85472">
        <w:rPr>
          <w:rFonts w:ascii="Arial" w:hAnsi="Arial" w:cs="Arial"/>
          <w:sz w:val="24"/>
          <w:szCs w:val="24"/>
        </w:rPr>
        <w:t>L</w:t>
      </w:r>
      <w:r w:rsidR="00E57976" w:rsidRPr="00F85472">
        <w:rPr>
          <w:rFonts w:ascii="Arial" w:hAnsi="Arial" w:cs="Arial"/>
          <w:sz w:val="24"/>
          <w:szCs w:val="24"/>
        </w:rPr>
        <w:t xml:space="preserve">a Germania, </w:t>
      </w:r>
      <w:r w:rsidR="00A53720" w:rsidRPr="00F85472">
        <w:rPr>
          <w:rFonts w:ascii="Arial" w:hAnsi="Arial" w:cs="Arial"/>
          <w:sz w:val="24"/>
          <w:szCs w:val="24"/>
        </w:rPr>
        <w:t xml:space="preserve">con </w:t>
      </w:r>
      <w:r w:rsidR="00622E29">
        <w:rPr>
          <w:rFonts w:ascii="Arial" w:hAnsi="Arial" w:cs="Arial"/>
          <w:sz w:val="24"/>
          <w:szCs w:val="24"/>
        </w:rPr>
        <w:t xml:space="preserve">circa 581 milioni </w:t>
      </w:r>
      <w:r w:rsidR="00E57976" w:rsidRPr="00F85472">
        <w:rPr>
          <w:rFonts w:ascii="Arial" w:hAnsi="Arial" w:cs="Arial"/>
          <w:sz w:val="24"/>
          <w:szCs w:val="24"/>
        </w:rPr>
        <w:t xml:space="preserve">di euro, </w:t>
      </w:r>
      <w:r w:rsidR="001D6A89" w:rsidRPr="00F85472">
        <w:rPr>
          <w:rFonts w:ascii="Arial" w:hAnsi="Arial" w:cs="Arial"/>
          <w:sz w:val="24"/>
          <w:szCs w:val="24"/>
        </w:rPr>
        <w:t>continua ad essere</w:t>
      </w:r>
      <w:r w:rsidR="00E57976" w:rsidRPr="00F85472">
        <w:rPr>
          <w:rFonts w:ascii="Arial" w:hAnsi="Arial" w:cs="Arial"/>
          <w:sz w:val="24"/>
          <w:szCs w:val="24"/>
        </w:rPr>
        <w:t xml:space="preserve"> </w:t>
      </w:r>
      <w:r w:rsidR="001D6A89" w:rsidRPr="00F85472">
        <w:rPr>
          <w:rFonts w:ascii="Arial" w:hAnsi="Arial" w:cs="Arial"/>
          <w:sz w:val="24"/>
          <w:szCs w:val="24"/>
        </w:rPr>
        <w:t xml:space="preserve">il </w:t>
      </w:r>
      <w:r w:rsidR="00E57976" w:rsidRPr="00F85472">
        <w:rPr>
          <w:rFonts w:ascii="Arial" w:hAnsi="Arial" w:cs="Arial"/>
          <w:sz w:val="24"/>
          <w:szCs w:val="24"/>
        </w:rPr>
        <w:t>primo sbocco commerciale dell’Italia</w:t>
      </w:r>
      <w:r w:rsidR="00424F25" w:rsidRPr="00F85472">
        <w:rPr>
          <w:rFonts w:ascii="Arial" w:hAnsi="Arial" w:cs="Arial"/>
          <w:sz w:val="24"/>
          <w:szCs w:val="24"/>
        </w:rPr>
        <w:t xml:space="preserve"> con un</w:t>
      </w:r>
      <w:r w:rsidR="001D6A89" w:rsidRPr="00F85472">
        <w:rPr>
          <w:rFonts w:ascii="Arial" w:hAnsi="Arial" w:cs="Arial"/>
          <w:sz w:val="24"/>
          <w:szCs w:val="24"/>
        </w:rPr>
        <w:t xml:space="preserve"> incremento</w:t>
      </w:r>
      <w:r w:rsidR="00F070AE">
        <w:rPr>
          <w:rFonts w:ascii="Arial" w:hAnsi="Arial" w:cs="Arial"/>
          <w:sz w:val="24"/>
          <w:szCs w:val="24"/>
        </w:rPr>
        <w:t xml:space="preserve"> annuo di </w:t>
      </w:r>
      <w:r w:rsidR="00622E29">
        <w:rPr>
          <w:rFonts w:ascii="Arial" w:hAnsi="Arial" w:cs="Arial"/>
          <w:sz w:val="24"/>
          <w:szCs w:val="24"/>
        </w:rPr>
        <w:t>ben 10.4</w:t>
      </w:r>
      <w:r w:rsidR="00F85472" w:rsidRPr="00F85472">
        <w:rPr>
          <w:rFonts w:ascii="Arial" w:hAnsi="Arial" w:cs="Arial"/>
          <w:sz w:val="24"/>
          <w:szCs w:val="24"/>
        </w:rPr>
        <w:t xml:space="preserve"> punti percentuali</w:t>
      </w:r>
      <w:r w:rsidR="00424F25" w:rsidRPr="00F85472">
        <w:rPr>
          <w:rFonts w:ascii="Arial" w:hAnsi="Arial" w:cs="Arial"/>
          <w:sz w:val="24"/>
          <w:szCs w:val="24"/>
        </w:rPr>
        <w:t xml:space="preserve"> </w:t>
      </w:r>
      <w:r w:rsidR="00A53720" w:rsidRPr="00F85472">
        <w:rPr>
          <w:rFonts w:ascii="Arial" w:hAnsi="Arial" w:cs="Arial"/>
          <w:sz w:val="24"/>
          <w:szCs w:val="24"/>
        </w:rPr>
        <w:t>sul lato delle esportazioni alimentari</w:t>
      </w:r>
      <w:r w:rsidR="00F85472" w:rsidRPr="00F85472">
        <w:rPr>
          <w:rFonts w:ascii="Arial" w:hAnsi="Arial" w:cs="Arial"/>
          <w:sz w:val="24"/>
          <w:szCs w:val="24"/>
        </w:rPr>
        <w:t>.</w:t>
      </w:r>
      <w:r w:rsidR="00A53720" w:rsidRPr="00F85472">
        <w:rPr>
          <w:rFonts w:ascii="Arial" w:hAnsi="Arial" w:cs="Arial"/>
          <w:sz w:val="24"/>
          <w:szCs w:val="24"/>
        </w:rPr>
        <w:t xml:space="preserve"> </w:t>
      </w:r>
      <w:r w:rsidR="004704D0" w:rsidRPr="00F85472">
        <w:rPr>
          <w:rFonts w:ascii="Arial" w:hAnsi="Arial" w:cs="Arial"/>
          <w:sz w:val="24"/>
          <w:szCs w:val="24"/>
        </w:rPr>
        <w:t>S</w:t>
      </w:r>
      <w:r w:rsidR="00E57976" w:rsidRPr="00F85472">
        <w:rPr>
          <w:rFonts w:ascii="Arial" w:hAnsi="Arial" w:cs="Arial"/>
          <w:sz w:val="24"/>
          <w:szCs w:val="24"/>
        </w:rPr>
        <w:t>ul secondo gradino del podio s</w:t>
      </w:r>
      <w:r w:rsidR="000D0723" w:rsidRPr="00F85472">
        <w:rPr>
          <w:rFonts w:ascii="Arial" w:hAnsi="Arial" w:cs="Arial"/>
          <w:sz w:val="24"/>
          <w:szCs w:val="24"/>
        </w:rPr>
        <w:t>i è posizionata la Francia che</w:t>
      </w:r>
      <w:r w:rsidR="00ED4E15" w:rsidRPr="00F85472">
        <w:rPr>
          <w:rFonts w:ascii="Arial" w:hAnsi="Arial" w:cs="Arial"/>
          <w:sz w:val="24"/>
          <w:szCs w:val="24"/>
        </w:rPr>
        <w:t>,</w:t>
      </w:r>
      <w:r w:rsidR="000D0723" w:rsidRPr="00F85472">
        <w:rPr>
          <w:rFonts w:ascii="Arial" w:hAnsi="Arial" w:cs="Arial"/>
          <w:sz w:val="24"/>
          <w:szCs w:val="24"/>
        </w:rPr>
        <w:t xml:space="preserve"> con </w:t>
      </w:r>
      <w:r w:rsidR="00622E29">
        <w:rPr>
          <w:rFonts w:ascii="Arial" w:hAnsi="Arial" w:cs="Arial"/>
          <w:sz w:val="24"/>
          <w:szCs w:val="24"/>
        </w:rPr>
        <w:t>circa 370 milioni</w:t>
      </w:r>
      <w:r w:rsidR="000D0723" w:rsidRPr="00F85472">
        <w:rPr>
          <w:rFonts w:ascii="Arial" w:hAnsi="Arial" w:cs="Arial"/>
          <w:sz w:val="24"/>
          <w:szCs w:val="24"/>
        </w:rPr>
        <w:t xml:space="preserve"> </w:t>
      </w:r>
      <w:r w:rsidR="00E57976" w:rsidRPr="00F85472">
        <w:rPr>
          <w:rFonts w:ascii="Arial" w:hAnsi="Arial" w:cs="Arial"/>
          <w:sz w:val="24"/>
          <w:szCs w:val="24"/>
        </w:rPr>
        <w:t>di euro</w:t>
      </w:r>
      <w:r w:rsidR="00ED4E15" w:rsidRPr="00F85472">
        <w:rPr>
          <w:rFonts w:ascii="Arial" w:hAnsi="Arial" w:cs="Arial"/>
          <w:sz w:val="24"/>
          <w:szCs w:val="24"/>
        </w:rPr>
        <w:t>,</w:t>
      </w:r>
      <w:r w:rsidR="00E57976" w:rsidRPr="00F85472">
        <w:rPr>
          <w:rFonts w:ascii="Arial" w:hAnsi="Arial" w:cs="Arial"/>
          <w:sz w:val="24"/>
          <w:szCs w:val="24"/>
        </w:rPr>
        <w:t xml:space="preserve"> ha rappresentato l’11% della distribuzione</w:t>
      </w:r>
      <w:r w:rsidR="000D0723" w:rsidRPr="00F85472">
        <w:rPr>
          <w:rFonts w:ascii="Arial" w:hAnsi="Arial" w:cs="Arial"/>
          <w:sz w:val="24"/>
          <w:szCs w:val="24"/>
        </w:rPr>
        <w:t xml:space="preserve"> </w:t>
      </w:r>
      <w:r w:rsidR="00D431BC">
        <w:rPr>
          <w:rFonts w:ascii="Arial" w:hAnsi="Arial" w:cs="Arial"/>
          <w:sz w:val="24"/>
          <w:szCs w:val="24"/>
        </w:rPr>
        <w:t xml:space="preserve">con un incremento dell’export alimentare pari </w:t>
      </w:r>
      <w:r w:rsidR="00E019E2">
        <w:rPr>
          <w:rFonts w:ascii="Arial" w:hAnsi="Arial" w:cs="Arial"/>
          <w:sz w:val="24"/>
          <w:szCs w:val="24"/>
        </w:rPr>
        <w:t>a</w:t>
      </w:r>
      <w:r w:rsidR="00D431BC">
        <w:rPr>
          <w:rFonts w:ascii="Arial" w:hAnsi="Arial" w:cs="Arial"/>
          <w:sz w:val="24"/>
          <w:szCs w:val="24"/>
        </w:rPr>
        <w:t xml:space="preserve">l 2.1%. </w:t>
      </w:r>
      <w:r w:rsidR="004F0E7A" w:rsidRPr="004F0E7A">
        <w:rPr>
          <w:rFonts w:ascii="Arial" w:hAnsi="Arial" w:cs="Arial"/>
          <w:sz w:val="24"/>
          <w:szCs w:val="24"/>
        </w:rPr>
        <w:t>Tuttavia, nonostante la tendenza al rialzo appena osservata, mentre il saldo commerciale nei confronti della Germania è stato positivo per l’Italia, rispetto alla Francia la differenza in valore tra esportazioni e importazioni continua ad essere negativa per il nostro Paese (poco più di 100mila euro).</w:t>
      </w:r>
      <w:r w:rsidR="004F0E7A" w:rsidRPr="004A3C12">
        <w:rPr>
          <w:rFonts w:ascii="Arial" w:hAnsi="Arial" w:cs="Arial"/>
          <w:sz w:val="24"/>
          <w:szCs w:val="24"/>
        </w:rPr>
        <w:t xml:space="preserve"> </w:t>
      </w:r>
      <w:r w:rsidR="004F0E7A">
        <w:rPr>
          <w:rFonts w:ascii="Arial" w:hAnsi="Arial" w:cs="Arial"/>
          <w:sz w:val="24"/>
          <w:szCs w:val="24"/>
        </w:rPr>
        <w:t>Per quanto riguarda il Regno Unito</w:t>
      </w:r>
      <w:r w:rsidR="00542814">
        <w:rPr>
          <w:rFonts w:ascii="Arial" w:hAnsi="Arial" w:cs="Arial"/>
          <w:sz w:val="24"/>
          <w:szCs w:val="24"/>
        </w:rPr>
        <w:t xml:space="preserve">, l’export agroalimentare Made in </w:t>
      </w:r>
      <w:proofErr w:type="spellStart"/>
      <w:r w:rsidR="00542814">
        <w:rPr>
          <w:rFonts w:ascii="Arial" w:hAnsi="Arial" w:cs="Arial"/>
          <w:sz w:val="24"/>
          <w:szCs w:val="24"/>
        </w:rPr>
        <w:t>Italy</w:t>
      </w:r>
      <w:proofErr w:type="spellEnd"/>
      <w:r w:rsidR="002A18DC">
        <w:rPr>
          <w:rFonts w:ascii="Arial" w:hAnsi="Arial" w:cs="Arial"/>
          <w:sz w:val="24"/>
          <w:szCs w:val="24"/>
        </w:rPr>
        <w:t xml:space="preserve"> è stato caratterizzato da una forte crescita media annua, circa pari a 15 punti percentuali. Per</w:t>
      </w:r>
      <w:r w:rsidR="004F0E7A">
        <w:rPr>
          <w:rFonts w:ascii="Arial" w:hAnsi="Arial" w:cs="Arial"/>
          <w:sz w:val="24"/>
          <w:szCs w:val="24"/>
        </w:rPr>
        <w:t xml:space="preserve"> considerazioni più approfondite</w:t>
      </w:r>
      <w:r w:rsidR="002A18DC">
        <w:rPr>
          <w:rFonts w:ascii="Arial" w:hAnsi="Arial" w:cs="Arial"/>
          <w:sz w:val="24"/>
          <w:szCs w:val="24"/>
        </w:rPr>
        <w:t xml:space="preserve"> su tale mercato di sbocco, si rimanda l’attenzione</w:t>
      </w:r>
      <w:r w:rsidR="004F0E7A">
        <w:rPr>
          <w:rFonts w:ascii="Arial" w:hAnsi="Arial" w:cs="Arial"/>
          <w:sz w:val="24"/>
          <w:szCs w:val="24"/>
        </w:rPr>
        <w:t xml:space="preserve"> </w:t>
      </w:r>
      <w:r w:rsidR="002A18DC">
        <w:rPr>
          <w:rFonts w:ascii="Arial" w:hAnsi="Arial" w:cs="Arial"/>
          <w:sz w:val="24"/>
          <w:szCs w:val="24"/>
        </w:rPr>
        <w:t>a</w:t>
      </w:r>
      <w:r w:rsidR="004F0E7A">
        <w:rPr>
          <w:rFonts w:ascii="Arial" w:hAnsi="Arial" w:cs="Arial"/>
          <w:sz w:val="24"/>
          <w:szCs w:val="24"/>
        </w:rPr>
        <w:t>lla seconda parte del report.</w:t>
      </w:r>
      <w:r w:rsidR="004F0E7A" w:rsidRPr="007E35EF">
        <w:rPr>
          <w:rFonts w:ascii="Arial" w:hAnsi="Arial" w:cs="Arial"/>
          <w:sz w:val="24"/>
          <w:szCs w:val="24"/>
        </w:rPr>
        <w:t xml:space="preserve"> </w:t>
      </w:r>
      <w:r w:rsidR="008D5814" w:rsidRPr="004A3C12">
        <w:rPr>
          <w:rFonts w:ascii="Arial" w:hAnsi="Arial" w:cs="Arial"/>
          <w:sz w:val="24"/>
          <w:szCs w:val="24"/>
        </w:rPr>
        <w:t>Il</w:t>
      </w:r>
      <w:r w:rsidR="008D5814" w:rsidRPr="00F85472">
        <w:rPr>
          <w:rFonts w:ascii="Arial" w:hAnsi="Arial" w:cs="Arial"/>
          <w:sz w:val="24"/>
          <w:szCs w:val="24"/>
        </w:rPr>
        <w:t xml:space="preserve"> mercato USA</w:t>
      </w:r>
      <w:r w:rsidR="000B05EC" w:rsidRPr="00F85472">
        <w:rPr>
          <w:rFonts w:ascii="Arial" w:hAnsi="Arial" w:cs="Arial"/>
          <w:sz w:val="24"/>
          <w:szCs w:val="24"/>
        </w:rPr>
        <w:t xml:space="preserve">, con un valore </w:t>
      </w:r>
      <w:r w:rsidR="002A18DC">
        <w:rPr>
          <w:rFonts w:ascii="Arial" w:hAnsi="Arial" w:cs="Arial"/>
          <w:sz w:val="24"/>
          <w:szCs w:val="24"/>
        </w:rPr>
        <w:t>c</w:t>
      </w:r>
      <w:r w:rsidR="000B05EC" w:rsidRPr="00F85472">
        <w:rPr>
          <w:rFonts w:ascii="Arial" w:hAnsi="Arial" w:cs="Arial"/>
          <w:sz w:val="24"/>
          <w:szCs w:val="24"/>
        </w:rPr>
        <w:t xml:space="preserve">omplessivo di </w:t>
      </w:r>
      <w:r w:rsidR="00D431BC">
        <w:rPr>
          <w:rFonts w:ascii="Arial" w:hAnsi="Arial" w:cs="Arial"/>
          <w:sz w:val="24"/>
          <w:szCs w:val="24"/>
        </w:rPr>
        <w:t xml:space="preserve">circa 322 milioni </w:t>
      </w:r>
      <w:r w:rsidR="000B05EC" w:rsidRPr="00F85472">
        <w:rPr>
          <w:rFonts w:ascii="Arial" w:hAnsi="Arial" w:cs="Arial"/>
          <w:sz w:val="24"/>
          <w:szCs w:val="24"/>
        </w:rPr>
        <w:t>di euro</w:t>
      </w:r>
      <w:r w:rsidR="001D6A89" w:rsidRPr="00F85472">
        <w:rPr>
          <w:rFonts w:ascii="Arial" w:hAnsi="Arial" w:cs="Arial"/>
          <w:sz w:val="24"/>
          <w:szCs w:val="24"/>
        </w:rPr>
        <w:t xml:space="preserve"> e</w:t>
      </w:r>
      <w:r w:rsidR="000B05EC" w:rsidRPr="00F85472">
        <w:rPr>
          <w:rFonts w:ascii="Arial" w:hAnsi="Arial" w:cs="Arial"/>
          <w:sz w:val="24"/>
          <w:szCs w:val="24"/>
        </w:rPr>
        <w:t xml:space="preserve"> un aumento del </w:t>
      </w:r>
      <w:r w:rsidR="00D431BC">
        <w:rPr>
          <w:rFonts w:ascii="Arial" w:hAnsi="Arial" w:cs="Arial"/>
          <w:sz w:val="24"/>
          <w:szCs w:val="24"/>
        </w:rPr>
        <w:t>43.5</w:t>
      </w:r>
      <w:r w:rsidR="000B05EC" w:rsidRPr="00F85472">
        <w:rPr>
          <w:rFonts w:ascii="Arial" w:hAnsi="Arial" w:cs="Arial"/>
          <w:sz w:val="24"/>
          <w:szCs w:val="24"/>
        </w:rPr>
        <w:t>% per l’export agricolo, continua a pesare per il 10% all’interno delle spedizioni italiane</w:t>
      </w:r>
      <w:r w:rsidR="00480F21" w:rsidRPr="00F85472">
        <w:rPr>
          <w:rFonts w:ascii="Arial" w:hAnsi="Arial" w:cs="Arial"/>
          <w:sz w:val="24"/>
          <w:szCs w:val="24"/>
        </w:rPr>
        <w:t xml:space="preserve"> verso l’estero</w:t>
      </w:r>
      <w:r w:rsidR="00424F25" w:rsidRPr="00F85472">
        <w:rPr>
          <w:rFonts w:ascii="Arial" w:hAnsi="Arial" w:cs="Arial"/>
          <w:sz w:val="24"/>
          <w:szCs w:val="24"/>
        </w:rPr>
        <w:t>.</w:t>
      </w:r>
      <w:r w:rsidR="00ED4E15" w:rsidRPr="00F85472">
        <w:rPr>
          <w:rFonts w:ascii="Arial" w:hAnsi="Arial" w:cs="Arial"/>
          <w:sz w:val="24"/>
          <w:szCs w:val="24"/>
        </w:rPr>
        <w:t xml:space="preserve"> </w:t>
      </w:r>
      <w:r w:rsidR="00E57976" w:rsidRPr="007E35EF">
        <w:rPr>
          <w:rFonts w:ascii="Arial" w:hAnsi="Arial" w:cs="Arial"/>
          <w:sz w:val="24"/>
          <w:szCs w:val="24"/>
        </w:rPr>
        <w:t>I</w:t>
      </w:r>
      <w:r w:rsidR="00E804DE" w:rsidRPr="007E35EF">
        <w:rPr>
          <w:rFonts w:ascii="Arial" w:hAnsi="Arial" w:cs="Arial"/>
          <w:sz w:val="24"/>
          <w:szCs w:val="24"/>
        </w:rPr>
        <w:t>l restante 2</w:t>
      </w:r>
      <w:r w:rsidR="00A47DFB">
        <w:rPr>
          <w:rFonts w:ascii="Arial" w:hAnsi="Arial" w:cs="Arial"/>
          <w:sz w:val="24"/>
          <w:szCs w:val="24"/>
        </w:rPr>
        <w:t>5</w:t>
      </w:r>
      <w:r w:rsidR="00E804DE" w:rsidRPr="007E35EF">
        <w:rPr>
          <w:rFonts w:ascii="Arial" w:hAnsi="Arial" w:cs="Arial"/>
          <w:sz w:val="24"/>
          <w:szCs w:val="24"/>
        </w:rPr>
        <w:t xml:space="preserve">% </w:t>
      </w:r>
      <w:r w:rsidR="00E57976" w:rsidRPr="007E35EF">
        <w:rPr>
          <w:rFonts w:ascii="Arial" w:hAnsi="Arial" w:cs="Arial"/>
          <w:sz w:val="24"/>
          <w:szCs w:val="24"/>
        </w:rPr>
        <w:t xml:space="preserve">delle esportazioni è stato </w:t>
      </w:r>
      <w:r w:rsidR="000B05EC" w:rsidRPr="007E35EF">
        <w:rPr>
          <w:rFonts w:ascii="Arial" w:hAnsi="Arial" w:cs="Arial"/>
          <w:sz w:val="24"/>
          <w:szCs w:val="24"/>
        </w:rPr>
        <w:t>venduto</w:t>
      </w:r>
      <w:r w:rsidR="00E57976" w:rsidRPr="007E35EF">
        <w:rPr>
          <w:rFonts w:ascii="Arial" w:hAnsi="Arial" w:cs="Arial"/>
          <w:sz w:val="24"/>
          <w:szCs w:val="24"/>
        </w:rPr>
        <w:t xml:space="preserve"> sugli altri mercati tra cui la Svizzera</w:t>
      </w:r>
      <w:r w:rsidR="00E804DE" w:rsidRPr="007E35EF">
        <w:rPr>
          <w:rFonts w:ascii="Arial" w:hAnsi="Arial" w:cs="Arial"/>
          <w:sz w:val="24"/>
          <w:szCs w:val="24"/>
        </w:rPr>
        <w:t xml:space="preserve">, </w:t>
      </w:r>
      <w:r w:rsidR="000B05EC" w:rsidRPr="007E35EF">
        <w:rPr>
          <w:rFonts w:ascii="Arial" w:hAnsi="Arial" w:cs="Arial"/>
          <w:sz w:val="24"/>
          <w:szCs w:val="24"/>
        </w:rPr>
        <w:t>con</w:t>
      </w:r>
      <w:r w:rsidR="00E804DE" w:rsidRPr="007E35EF">
        <w:rPr>
          <w:rFonts w:ascii="Arial" w:hAnsi="Arial" w:cs="Arial"/>
          <w:sz w:val="24"/>
          <w:szCs w:val="24"/>
        </w:rPr>
        <w:t xml:space="preserve"> il 4% del</w:t>
      </w:r>
      <w:r w:rsidR="000B05EC" w:rsidRPr="007E35EF">
        <w:rPr>
          <w:rFonts w:ascii="Arial" w:hAnsi="Arial" w:cs="Arial"/>
          <w:sz w:val="24"/>
          <w:szCs w:val="24"/>
        </w:rPr>
        <w:t xml:space="preserve"> totale </w:t>
      </w:r>
      <w:r w:rsidR="00E57976" w:rsidRPr="007E35EF">
        <w:rPr>
          <w:rFonts w:ascii="Arial" w:hAnsi="Arial" w:cs="Arial"/>
          <w:sz w:val="24"/>
          <w:szCs w:val="24"/>
        </w:rPr>
        <w:t>e</w:t>
      </w:r>
      <w:r w:rsidR="000D0723" w:rsidRPr="007E35EF">
        <w:rPr>
          <w:rFonts w:ascii="Arial" w:hAnsi="Arial" w:cs="Arial"/>
          <w:sz w:val="24"/>
          <w:szCs w:val="24"/>
        </w:rPr>
        <w:t xml:space="preserve"> </w:t>
      </w:r>
      <w:r w:rsidR="008C4BD3" w:rsidRPr="007E35EF">
        <w:rPr>
          <w:rFonts w:ascii="Arial" w:hAnsi="Arial" w:cs="Arial"/>
          <w:sz w:val="24"/>
          <w:szCs w:val="24"/>
        </w:rPr>
        <w:t>il Giappone</w:t>
      </w:r>
      <w:r w:rsidR="001D6A89" w:rsidRPr="007E35EF">
        <w:rPr>
          <w:rFonts w:ascii="Arial" w:hAnsi="Arial" w:cs="Arial"/>
          <w:sz w:val="24"/>
          <w:szCs w:val="24"/>
        </w:rPr>
        <w:t xml:space="preserve"> (</w:t>
      </w:r>
      <w:r w:rsidR="00D431BC">
        <w:rPr>
          <w:rFonts w:ascii="Arial" w:hAnsi="Arial" w:cs="Arial"/>
          <w:sz w:val="24"/>
          <w:szCs w:val="24"/>
        </w:rPr>
        <w:t>circa 74 milioni</w:t>
      </w:r>
      <w:r w:rsidR="001D6A89" w:rsidRPr="007E35EF">
        <w:rPr>
          <w:rFonts w:ascii="Arial" w:hAnsi="Arial" w:cs="Arial"/>
          <w:sz w:val="24"/>
          <w:szCs w:val="24"/>
        </w:rPr>
        <w:t xml:space="preserve"> di euro). In quest’ultimo caso, gli ultimi dati </w:t>
      </w:r>
      <w:r w:rsidR="000D7EFB" w:rsidRPr="007E35EF">
        <w:rPr>
          <w:rFonts w:ascii="Arial" w:hAnsi="Arial" w:cs="Arial"/>
          <w:sz w:val="24"/>
          <w:szCs w:val="24"/>
        </w:rPr>
        <w:t xml:space="preserve">hanno </w:t>
      </w:r>
      <w:r w:rsidR="001D6A89" w:rsidRPr="007E35EF">
        <w:rPr>
          <w:rFonts w:ascii="Arial" w:hAnsi="Arial" w:cs="Arial"/>
          <w:sz w:val="24"/>
          <w:szCs w:val="24"/>
        </w:rPr>
        <w:t>evidenzia</w:t>
      </w:r>
      <w:r w:rsidR="000D7EFB" w:rsidRPr="007E35EF">
        <w:rPr>
          <w:rFonts w:ascii="Arial" w:hAnsi="Arial" w:cs="Arial"/>
          <w:sz w:val="24"/>
          <w:szCs w:val="24"/>
        </w:rPr>
        <w:t>to</w:t>
      </w:r>
      <w:r w:rsidR="001D6A89" w:rsidRPr="007E35EF">
        <w:rPr>
          <w:rFonts w:ascii="Arial" w:hAnsi="Arial" w:cs="Arial"/>
          <w:sz w:val="24"/>
          <w:szCs w:val="24"/>
        </w:rPr>
        <w:t xml:space="preserve"> una contrazione annua </w:t>
      </w:r>
      <w:r w:rsidR="007E35EF" w:rsidRPr="007E35EF">
        <w:rPr>
          <w:rFonts w:ascii="Arial" w:hAnsi="Arial" w:cs="Arial"/>
          <w:sz w:val="24"/>
          <w:szCs w:val="24"/>
        </w:rPr>
        <w:t>particolarmente mar</w:t>
      </w:r>
      <w:r w:rsidR="00D431BC">
        <w:rPr>
          <w:rFonts w:ascii="Arial" w:hAnsi="Arial" w:cs="Arial"/>
          <w:sz w:val="24"/>
          <w:szCs w:val="24"/>
        </w:rPr>
        <w:t>cata (-24</w:t>
      </w:r>
      <w:r w:rsidR="007E35EF" w:rsidRPr="007E35EF">
        <w:rPr>
          <w:rFonts w:ascii="Arial" w:hAnsi="Arial" w:cs="Arial"/>
          <w:sz w:val="24"/>
          <w:szCs w:val="24"/>
        </w:rPr>
        <w:t>%) nel</w:t>
      </w:r>
      <w:r w:rsidR="001D6A89" w:rsidRPr="007E35EF">
        <w:rPr>
          <w:rFonts w:ascii="Arial" w:hAnsi="Arial" w:cs="Arial"/>
          <w:sz w:val="24"/>
          <w:szCs w:val="24"/>
        </w:rPr>
        <w:t xml:space="preserve"> segmento de</w:t>
      </w:r>
      <w:r w:rsidR="005F33EF" w:rsidRPr="007E35EF">
        <w:rPr>
          <w:rFonts w:ascii="Arial" w:hAnsi="Arial" w:cs="Arial"/>
          <w:sz w:val="24"/>
          <w:szCs w:val="24"/>
        </w:rPr>
        <w:t xml:space="preserve">lle esportazioni </w:t>
      </w:r>
      <w:r w:rsidR="001D6A89" w:rsidRPr="007E35EF">
        <w:rPr>
          <w:rFonts w:ascii="Arial" w:hAnsi="Arial" w:cs="Arial"/>
          <w:sz w:val="24"/>
          <w:szCs w:val="24"/>
        </w:rPr>
        <w:t>alimentari</w:t>
      </w:r>
      <w:r w:rsidR="00E019E2">
        <w:rPr>
          <w:rFonts w:ascii="Arial" w:hAnsi="Arial" w:cs="Arial"/>
          <w:sz w:val="24"/>
          <w:szCs w:val="24"/>
        </w:rPr>
        <w:t xml:space="preserve"> così come per quelli agricoli (-22%)</w:t>
      </w:r>
      <w:r w:rsidR="000B05EC" w:rsidRPr="007E35EF">
        <w:rPr>
          <w:rFonts w:ascii="Arial" w:hAnsi="Arial" w:cs="Arial"/>
          <w:sz w:val="24"/>
          <w:szCs w:val="24"/>
        </w:rPr>
        <w:t>.</w:t>
      </w:r>
    </w:p>
    <w:p w:rsidR="00E019E2" w:rsidRDefault="00E019E2" w:rsidP="00464E13">
      <w:pPr>
        <w:spacing w:after="60" w:line="360" w:lineRule="auto"/>
        <w:jc w:val="both"/>
        <w:rPr>
          <w:rFonts w:ascii="Arial" w:hAnsi="Arial" w:cs="Arial"/>
          <w:sz w:val="24"/>
          <w:szCs w:val="24"/>
        </w:rPr>
      </w:pPr>
    </w:p>
    <w:p w:rsidR="00E57976" w:rsidRPr="00CD3640" w:rsidRDefault="00BB059B" w:rsidP="002F052A">
      <w:pPr>
        <w:spacing w:after="0"/>
        <w:jc w:val="center"/>
        <w:rPr>
          <w:i/>
          <w:szCs w:val="24"/>
        </w:rPr>
      </w:pPr>
      <w:r w:rsidRPr="00CD3640">
        <w:rPr>
          <w:noProof/>
          <w:sz w:val="20"/>
          <w:lang w:eastAsia="it-IT"/>
        </w:rPr>
        <w:drawing>
          <wp:anchor distT="0" distB="0" distL="114300" distR="114300" simplePos="0" relativeHeight="251664384" behindDoc="0" locked="0" layoutInCell="1" allowOverlap="1" wp14:anchorId="2E2B8010" wp14:editId="55DCA9FF">
            <wp:simplePos x="0" y="0"/>
            <wp:positionH relativeFrom="column">
              <wp:posOffset>2442210</wp:posOffset>
            </wp:positionH>
            <wp:positionV relativeFrom="paragraph">
              <wp:posOffset>281305</wp:posOffset>
            </wp:positionV>
            <wp:extent cx="3721100" cy="1718945"/>
            <wp:effectExtent l="0" t="0" r="0" b="0"/>
            <wp:wrapTopAndBottom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0" cy="171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6DB6" w:rsidRPr="00CD3640">
        <w:rPr>
          <w:noProof/>
          <w:sz w:val="20"/>
          <w:lang w:eastAsia="it-IT"/>
        </w:rPr>
        <w:drawing>
          <wp:anchor distT="0" distB="0" distL="114300" distR="114300" simplePos="0" relativeHeight="251665408" behindDoc="0" locked="0" layoutInCell="1" allowOverlap="1" wp14:anchorId="280D25CD" wp14:editId="1B6FE186">
            <wp:simplePos x="0" y="0"/>
            <wp:positionH relativeFrom="column">
              <wp:posOffset>-8890</wp:posOffset>
            </wp:positionH>
            <wp:positionV relativeFrom="paragraph">
              <wp:posOffset>281940</wp:posOffset>
            </wp:positionV>
            <wp:extent cx="2451100" cy="1720850"/>
            <wp:effectExtent l="0" t="0" r="6350" b="0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172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976" w:rsidRPr="00CD3640">
        <w:rPr>
          <w:rFonts w:ascii="Arial" w:hAnsi="Arial" w:cs="Arial"/>
          <w:i/>
          <w:szCs w:val="24"/>
        </w:rPr>
        <w:t>Destinazione delle esportazioni agroalimentari italiane (gennaio-</w:t>
      </w:r>
      <w:r w:rsidR="004877D3" w:rsidRPr="00CD3640">
        <w:rPr>
          <w:rFonts w:ascii="Arial" w:hAnsi="Arial" w:cs="Arial"/>
          <w:i/>
          <w:szCs w:val="24"/>
        </w:rPr>
        <w:t>settembre</w:t>
      </w:r>
      <w:r w:rsidR="00516907" w:rsidRPr="00CD3640">
        <w:rPr>
          <w:rFonts w:ascii="Arial" w:hAnsi="Arial" w:cs="Arial"/>
          <w:i/>
          <w:szCs w:val="24"/>
        </w:rPr>
        <w:t>;</w:t>
      </w:r>
      <w:r w:rsidR="00E57976" w:rsidRPr="00CD3640">
        <w:rPr>
          <w:rFonts w:ascii="Arial" w:hAnsi="Arial" w:cs="Arial"/>
          <w:i/>
          <w:szCs w:val="24"/>
        </w:rPr>
        <w:t xml:space="preserve"> </w:t>
      </w:r>
      <w:proofErr w:type="spellStart"/>
      <w:r w:rsidR="00E57976" w:rsidRPr="00CD3640">
        <w:rPr>
          <w:rFonts w:ascii="Arial" w:hAnsi="Arial" w:cs="Arial"/>
          <w:i/>
          <w:szCs w:val="24"/>
        </w:rPr>
        <w:t>mld</w:t>
      </w:r>
      <w:proofErr w:type="spellEnd"/>
      <w:r w:rsidR="00E57976" w:rsidRPr="00CD3640">
        <w:rPr>
          <w:rFonts w:ascii="Arial" w:hAnsi="Arial" w:cs="Arial"/>
          <w:i/>
          <w:szCs w:val="24"/>
        </w:rPr>
        <w:t xml:space="preserve"> di euro)</w:t>
      </w:r>
    </w:p>
    <w:p w:rsidR="00581C41" w:rsidRDefault="00E57976" w:rsidP="00CD3640">
      <w:pPr>
        <w:tabs>
          <w:tab w:val="left" w:pos="1785"/>
          <w:tab w:val="left" w:pos="2535"/>
        </w:tabs>
        <w:spacing w:after="0" w:line="240" w:lineRule="auto"/>
        <w:jc w:val="center"/>
        <w:rPr>
          <w:rFonts w:ascii="Arial" w:hAnsi="Arial" w:cs="Arial"/>
        </w:rPr>
      </w:pPr>
      <w:r w:rsidRPr="00ED4E15">
        <w:rPr>
          <w:rFonts w:ascii="Arial" w:hAnsi="Arial" w:cs="Arial"/>
        </w:rPr>
        <w:t>F</w:t>
      </w:r>
      <w:r w:rsidR="00065583">
        <w:rPr>
          <w:rFonts w:ascii="Arial" w:hAnsi="Arial" w:cs="Arial"/>
        </w:rPr>
        <w:t xml:space="preserve">onte: Ufficio Studi Cia su dati </w:t>
      </w:r>
      <w:r w:rsidRPr="00ED4E15">
        <w:rPr>
          <w:rFonts w:ascii="Arial" w:hAnsi="Arial" w:cs="Arial"/>
        </w:rPr>
        <w:t>Istat</w:t>
      </w:r>
    </w:p>
    <w:p w:rsidR="002A1890" w:rsidRDefault="002A1890" w:rsidP="00E178FC">
      <w:pPr>
        <w:tabs>
          <w:tab w:val="left" w:pos="1785"/>
          <w:tab w:val="left" w:pos="2535"/>
        </w:tabs>
        <w:spacing w:after="0" w:line="240" w:lineRule="auto"/>
        <w:jc w:val="center"/>
        <w:rPr>
          <w:rFonts w:ascii="Arial" w:hAnsi="Arial" w:cs="Arial"/>
        </w:rPr>
      </w:pPr>
    </w:p>
    <w:p w:rsidR="002A1890" w:rsidRDefault="002A1890" w:rsidP="00E178FC">
      <w:pPr>
        <w:tabs>
          <w:tab w:val="left" w:pos="1785"/>
          <w:tab w:val="left" w:pos="2535"/>
        </w:tabs>
        <w:spacing w:after="0" w:line="240" w:lineRule="auto"/>
        <w:jc w:val="center"/>
        <w:rPr>
          <w:rFonts w:ascii="Arial" w:hAnsi="Arial" w:cs="Arial"/>
        </w:rPr>
      </w:pPr>
    </w:p>
    <w:p w:rsidR="004F0E7A" w:rsidRDefault="004F0E7A" w:rsidP="00E178FC">
      <w:pPr>
        <w:tabs>
          <w:tab w:val="left" w:pos="1785"/>
          <w:tab w:val="left" w:pos="2535"/>
        </w:tabs>
        <w:spacing w:after="0" w:line="240" w:lineRule="auto"/>
        <w:jc w:val="center"/>
        <w:rPr>
          <w:rFonts w:ascii="Arial" w:hAnsi="Arial" w:cs="Arial"/>
        </w:rPr>
      </w:pPr>
    </w:p>
    <w:p w:rsidR="004F0E7A" w:rsidRDefault="004F0E7A" w:rsidP="00E178FC">
      <w:pPr>
        <w:tabs>
          <w:tab w:val="left" w:pos="1785"/>
          <w:tab w:val="left" w:pos="2535"/>
        </w:tabs>
        <w:spacing w:after="0" w:line="240" w:lineRule="auto"/>
        <w:jc w:val="center"/>
        <w:rPr>
          <w:rFonts w:ascii="Arial" w:hAnsi="Arial" w:cs="Arial"/>
        </w:rPr>
      </w:pPr>
    </w:p>
    <w:p w:rsidR="004F0E7A" w:rsidRDefault="004F0E7A" w:rsidP="00E178FC">
      <w:pPr>
        <w:tabs>
          <w:tab w:val="left" w:pos="1785"/>
          <w:tab w:val="left" w:pos="2535"/>
        </w:tabs>
        <w:spacing w:after="0" w:line="240" w:lineRule="auto"/>
        <w:jc w:val="center"/>
        <w:rPr>
          <w:rFonts w:ascii="Arial" w:hAnsi="Arial" w:cs="Arial"/>
        </w:rPr>
      </w:pPr>
    </w:p>
    <w:p w:rsidR="002A1890" w:rsidRDefault="002A1890" w:rsidP="00E178FC">
      <w:pPr>
        <w:tabs>
          <w:tab w:val="left" w:pos="1785"/>
          <w:tab w:val="left" w:pos="2535"/>
        </w:tabs>
        <w:spacing w:after="0" w:line="240" w:lineRule="auto"/>
        <w:jc w:val="center"/>
        <w:rPr>
          <w:rFonts w:ascii="Arial" w:hAnsi="Arial" w:cs="Arial"/>
        </w:rPr>
      </w:pPr>
    </w:p>
    <w:p w:rsidR="002A1890" w:rsidRDefault="002A1890" w:rsidP="00E178FC">
      <w:pPr>
        <w:tabs>
          <w:tab w:val="left" w:pos="1785"/>
          <w:tab w:val="left" w:pos="2535"/>
        </w:tabs>
        <w:spacing w:after="0" w:line="240" w:lineRule="auto"/>
        <w:jc w:val="center"/>
        <w:rPr>
          <w:rFonts w:ascii="Arial" w:hAnsi="Arial" w:cs="Arial"/>
        </w:rPr>
      </w:pPr>
    </w:p>
    <w:p w:rsidR="00FC5360" w:rsidRPr="00FC5360" w:rsidRDefault="00FC5360" w:rsidP="00FC5360">
      <w:pPr>
        <w:pBdr>
          <w:top w:val="single" w:sz="8" w:space="1" w:color="00B050"/>
          <w:left w:val="single" w:sz="8" w:space="4" w:color="00B050"/>
          <w:bottom w:val="single" w:sz="8" w:space="1" w:color="00B050"/>
          <w:right w:val="single" w:sz="8" w:space="4" w:color="00B050"/>
        </w:pBdr>
        <w:spacing w:before="120" w:after="120" w:line="240" w:lineRule="auto"/>
        <w:jc w:val="center"/>
        <w:rPr>
          <w:rFonts w:cstheme="minorHAnsi"/>
          <w:b/>
          <w:color w:val="00B050"/>
          <w:sz w:val="40"/>
          <w:szCs w:val="40"/>
        </w:rPr>
      </w:pPr>
      <w:r>
        <w:rPr>
          <w:rFonts w:cstheme="minorHAnsi"/>
          <w:b/>
          <w:color w:val="00B050"/>
          <w:sz w:val="40"/>
          <w:szCs w:val="40"/>
        </w:rPr>
        <w:lastRenderedPageBreak/>
        <w:t xml:space="preserve">FOCUS BREXIT: COMMERCIO ESTERO CON </w:t>
      </w:r>
      <w:r w:rsidR="00F06398">
        <w:rPr>
          <w:rFonts w:cstheme="minorHAnsi"/>
          <w:b/>
          <w:color w:val="00B050"/>
          <w:sz w:val="40"/>
          <w:szCs w:val="40"/>
        </w:rPr>
        <w:t>IL REGNO UNITO</w:t>
      </w:r>
      <w:r>
        <w:rPr>
          <w:rFonts w:cstheme="minorHAnsi"/>
          <w:b/>
          <w:color w:val="00B050"/>
          <w:sz w:val="40"/>
          <w:szCs w:val="40"/>
        </w:rPr>
        <w:t xml:space="preserve"> A GENNAIO 2019</w:t>
      </w:r>
    </w:p>
    <w:p w:rsidR="0029772E" w:rsidRDefault="0029772E" w:rsidP="0029772E">
      <w:pPr>
        <w:tabs>
          <w:tab w:val="left" w:pos="1110"/>
        </w:tabs>
        <w:jc w:val="both"/>
        <w:rPr>
          <w:rFonts w:ascii="Arial" w:hAnsi="Arial" w:cs="Arial"/>
          <w:sz w:val="24"/>
        </w:rPr>
      </w:pPr>
    </w:p>
    <w:p w:rsidR="00D431BC" w:rsidRPr="0029772E" w:rsidRDefault="002A18DC" w:rsidP="0029772E">
      <w:pPr>
        <w:tabs>
          <w:tab w:val="left" w:pos="1110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Gli ultimi dati Istat sul commercio estero, rendono</w:t>
      </w:r>
      <w:r w:rsidR="00D431BC" w:rsidRPr="0029772E">
        <w:rPr>
          <w:rFonts w:ascii="Arial" w:hAnsi="Arial" w:cs="Arial"/>
          <w:sz w:val="24"/>
        </w:rPr>
        <w:t xml:space="preserve"> possibil</w:t>
      </w:r>
      <w:r>
        <w:rPr>
          <w:rFonts w:ascii="Arial" w:hAnsi="Arial" w:cs="Arial"/>
          <w:sz w:val="24"/>
        </w:rPr>
        <w:t>i</w:t>
      </w:r>
      <w:r w:rsidR="00D431BC" w:rsidRPr="0029772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alcune</w:t>
      </w:r>
      <w:r w:rsidR="00D431BC" w:rsidRPr="0029772E">
        <w:rPr>
          <w:rFonts w:ascii="Arial" w:hAnsi="Arial" w:cs="Arial"/>
          <w:sz w:val="24"/>
        </w:rPr>
        <w:t xml:space="preserve"> considerazioni </w:t>
      </w:r>
      <w:r>
        <w:rPr>
          <w:rFonts w:ascii="Arial" w:hAnsi="Arial" w:cs="Arial"/>
          <w:sz w:val="24"/>
        </w:rPr>
        <w:t>in vista dell’approssimarsi della data del 29 marzo</w:t>
      </w:r>
      <w:r w:rsidR="007C289B">
        <w:rPr>
          <w:rFonts w:ascii="Arial" w:hAnsi="Arial" w:cs="Arial"/>
          <w:sz w:val="24"/>
        </w:rPr>
        <w:t xml:space="preserve"> 2019 (ad oggi ultimo giorno di permanenza UK nell’UE)</w:t>
      </w:r>
      <w:bookmarkStart w:id="0" w:name="_GoBack"/>
      <w:bookmarkEnd w:id="0"/>
      <w:r w:rsidR="00281E9B">
        <w:rPr>
          <w:rFonts w:ascii="Arial" w:hAnsi="Arial" w:cs="Arial"/>
          <w:sz w:val="24"/>
        </w:rPr>
        <w:t xml:space="preserve">. </w:t>
      </w:r>
      <w:r w:rsidR="00D431BC" w:rsidRPr="0029772E">
        <w:rPr>
          <w:rFonts w:ascii="Arial" w:hAnsi="Arial" w:cs="Arial"/>
          <w:sz w:val="24"/>
        </w:rPr>
        <w:t>Il</w:t>
      </w:r>
      <w:r w:rsidR="00BA67B9">
        <w:rPr>
          <w:rFonts w:ascii="Arial" w:hAnsi="Arial" w:cs="Arial"/>
          <w:sz w:val="24"/>
        </w:rPr>
        <w:t xml:space="preserve"> timore di una </w:t>
      </w:r>
      <w:proofErr w:type="spellStart"/>
      <w:r w:rsidR="00BA67B9">
        <w:rPr>
          <w:rFonts w:ascii="Arial" w:hAnsi="Arial" w:cs="Arial"/>
          <w:sz w:val="24"/>
        </w:rPr>
        <w:t>Brexit</w:t>
      </w:r>
      <w:proofErr w:type="spellEnd"/>
      <w:r w:rsidR="00BA67B9">
        <w:rPr>
          <w:rFonts w:ascii="Arial" w:hAnsi="Arial" w:cs="Arial"/>
          <w:sz w:val="24"/>
        </w:rPr>
        <w:t xml:space="preserve"> “no deal</w:t>
      </w:r>
      <w:r w:rsidR="000A6248">
        <w:rPr>
          <w:rFonts w:ascii="Arial" w:hAnsi="Arial" w:cs="Arial"/>
          <w:sz w:val="24"/>
        </w:rPr>
        <w:t>”</w:t>
      </w:r>
      <w:r w:rsidR="00BA67B9">
        <w:rPr>
          <w:rFonts w:ascii="Arial" w:hAnsi="Arial" w:cs="Arial"/>
          <w:sz w:val="24"/>
        </w:rPr>
        <w:t xml:space="preserve"> sembra che abbia spinto al rialzo </w:t>
      </w:r>
      <w:r w:rsidR="00D431BC" w:rsidRPr="0029772E">
        <w:rPr>
          <w:rFonts w:ascii="Arial" w:hAnsi="Arial" w:cs="Arial"/>
          <w:sz w:val="24"/>
        </w:rPr>
        <w:t>l’export agroalimentare</w:t>
      </w:r>
      <w:r w:rsidR="00281E9B">
        <w:rPr>
          <w:rFonts w:ascii="Arial" w:hAnsi="Arial" w:cs="Arial"/>
          <w:sz w:val="24"/>
        </w:rPr>
        <w:t xml:space="preserve"> italiano</w:t>
      </w:r>
      <w:r w:rsidR="00D431BC" w:rsidRPr="0029772E">
        <w:rPr>
          <w:rFonts w:ascii="Arial" w:hAnsi="Arial" w:cs="Arial"/>
          <w:sz w:val="24"/>
        </w:rPr>
        <w:t xml:space="preserve"> </w:t>
      </w:r>
      <w:r w:rsidR="000A6248">
        <w:rPr>
          <w:rFonts w:ascii="Arial" w:hAnsi="Arial" w:cs="Arial"/>
          <w:sz w:val="24"/>
        </w:rPr>
        <w:t>nel breve periodo</w:t>
      </w:r>
      <w:r w:rsidR="00D431BC" w:rsidRPr="0029772E">
        <w:rPr>
          <w:rFonts w:ascii="Arial" w:hAnsi="Arial" w:cs="Arial"/>
          <w:sz w:val="24"/>
        </w:rPr>
        <w:t xml:space="preserve">, supportato </w:t>
      </w:r>
      <w:r w:rsidR="00BA67B9">
        <w:rPr>
          <w:rFonts w:ascii="Arial" w:hAnsi="Arial" w:cs="Arial"/>
          <w:sz w:val="24"/>
        </w:rPr>
        <w:t xml:space="preserve">soprattutto </w:t>
      </w:r>
      <w:r w:rsidR="00D431BC" w:rsidRPr="0029772E">
        <w:rPr>
          <w:rFonts w:ascii="Arial" w:hAnsi="Arial" w:cs="Arial"/>
          <w:sz w:val="24"/>
        </w:rPr>
        <w:t xml:space="preserve">dalla vendita di beni alimentari nel mercato anglosassone. Il mercato inglese, infatti, </w:t>
      </w:r>
      <w:r w:rsidR="00BA67B9">
        <w:rPr>
          <w:rFonts w:ascii="Arial" w:hAnsi="Arial" w:cs="Arial"/>
          <w:sz w:val="24"/>
        </w:rPr>
        <w:t>rappresenta</w:t>
      </w:r>
      <w:r w:rsidR="00D431BC" w:rsidRPr="0029772E">
        <w:rPr>
          <w:rFonts w:ascii="Arial" w:hAnsi="Arial" w:cs="Arial"/>
          <w:sz w:val="24"/>
        </w:rPr>
        <w:t xml:space="preserve"> il quarto mercato di sbocco per le vendite estere agroalimentari Made in </w:t>
      </w:r>
      <w:proofErr w:type="spellStart"/>
      <w:r w:rsidR="00D431BC" w:rsidRPr="0029772E">
        <w:rPr>
          <w:rFonts w:ascii="Arial" w:hAnsi="Arial" w:cs="Arial"/>
          <w:sz w:val="24"/>
        </w:rPr>
        <w:t>Italy</w:t>
      </w:r>
      <w:proofErr w:type="spellEnd"/>
      <w:r w:rsidR="00D431BC" w:rsidRPr="0029772E">
        <w:rPr>
          <w:rFonts w:ascii="Arial" w:hAnsi="Arial" w:cs="Arial"/>
          <w:sz w:val="24"/>
        </w:rPr>
        <w:t xml:space="preserve"> (terzo tra i mercati UE).</w:t>
      </w:r>
      <w:r w:rsidR="00BA67B9">
        <w:rPr>
          <w:rFonts w:ascii="Arial" w:hAnsi="Arial" w:cs="Arial"/>
          <w:sz w:val="24"/>
        </w:rPr>
        <w:t xml:space="preserve"> </w:t>
      </w:r>
    </w:p>
    <w:p w:rsidR="00D431BC" w:rsidRPr="0084256E" w:rsidRDefault="00D431BC" w:rsidP="0084256E">
      <w:pPr>
        <w:tabs>
          <w:tab w:val="left" w:pos="1110"/>
        </w:tabs>
        <w:jc w:val="both"/>
        <w:rPr>
          <w:rFonts w:ascii="Arial" w:hAnsi="Arial" w:cs="Arial"/>
          <w:sz w:val="24"/>
        </w:rPr>
      </w:pPr>
      <w:r w:rsidRPr="0029772E">
        <w:rPr>
          <w:rFonts w:ascii="Arial" w:hAnsi="Arial" w:cs="Arial"/>
          <w:sz w:val="24"/>
        </w:rPr>
        <w:t xml:space="preserve">A seguire sono riportati alcuni punti </w:t>
      </w:r>
      <w:r w:rsidR="00281E9B">
        <w:rPr>
          <w:rFonts w:ascii="Arial" w:hAnsi="Arial" w:cs="Arial"/>
          <w:sz w:val="24"/>
        </w:rPr>
        <w:t>caratterizzanti l’interscambio commerciale</w:t>
      </w:r>
      <w:r w:rsidRPr="0029772E">
        <w:rPr>
          <w:rFonts w:ascii="Arial" w:hAnsi="Arial" w:cs="Arial"/>
          <w:sz w:val="24"/>
        </w:rPr>
        <w:t xml:space="preserve"> tra Regno Unito e Italia</w:t>
      </w:r>
      <w:r w:rsidR="00281E9B">
        <w:rPr>
          <w:rFonts w:ascii="Arial" w:hAnsi="Arial" w:cs="Arial"/>
          <w:sz w:val="24"/>
        </w:rPr>
        <w:t>:</w:t>
      </w:r>
    </w:p>
    <w:p w:rsidR="00D431BC" w:rsidRPr="00C62DC5" w:rsidRDefault="00D431BC" w:rsidP="00281E9B">
      <w:pPr>
        <w:pStyle w:val="Paragrafoelenco"/>
        <w:numPr>
          <w:ilvl w:val="0"/>
          <w:numId w:val="2"/>
        </w:numPr>
        <w:tabs>
          <w:tab w:val="left" w:pos="1110"/>
        </w:tabs>
        <w:spacing w:after="120"/>
        <w:ind w:left="714" w:hanging="357"/>
        <w:contextualSpacing w:val="0"/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4"/>
        </w:rPr>
        <w:t>La bilancia agroalimentare con il Regno Unito ha chiuso in positivo il 2018</w:t>
      </w:r>
      <w:r w:rsidR="00281E9B">
        <w:rPr>
          <w:rFonts w:ascii="Arial" w:hAnsi="Arial" w:cs="Arial"/>
          <w:sz w:val="24"/>
        </w:rPr>
        <w:t xml:space="preserve"> (+204 milioni di euro a dicembre)</w:t>
      </w:r>
      <w:r>
        <w:rPr>
          <w:rFonts w:ascii="Arial" w:hAnsi="Arial" w:cs="Arial"/>
          <w:sz w:val="24"/>
        </w:rPr>
        <w:t>. Continua ad essere favorevole per l’export italiano anche all’inizio del nuovo anno</w:t>
      </w:r>
      <w:r w:rsidR="002571C8">
        <w:rPr>
          <w:rFonts w:ascii="Arial" w:hAnsi="Arial" w:cs="Arial"/>
          <w:sz w:val="24"/>
        </w:rPr>
        <w:t xml:space="preserve"> (+193 milioni di euro),</w:t>
      </w:r>
      <w:r>
        <w:rPr>
          <w:rFonts w:ascii="Arial" w:hAnsi="Arial" w:cs="Arial"/>
          <w:sz w:val="24"/>
        </w:rPr>
        <w:t xml:space="preserve"> </w:t>
      </w:r>
      <w:r w:rsidR="002571C8">
        <w:rPr>
          <w:rFonts w:ascii="Arial" w:hAnsi="Arial" w:cs="Arial"/>
          <w:sz w:val="24"/>
        </w:rPr>
        <w:t>con</w:t>
      </w:r>
      <w:r>
        <w:rPr>
          <w:rFonts w:ascii="Arial" w:hAnsi="Arial" w:cs="Arial"/>
          <w:sz w:val="24"/>
        </w:rPr>
        <w:t xml:space="preserve"> le esportazioni di beni alimentari </w:t>
      </w:r>
      <w:r w:rsidR="00281E9B">
        <w:rPr>
          <w:rFonts w:ascii="Arial" w:hAnsi="Arial" w:cs="Arial"/>
          <w:sz w:val="24"/>
        </w:rPr>
        <w:t>h</w:t>
      </w:r>
      <w:r>
        <w:rPr>
          <w:rFonts w:ascii="Arial" w:hAnsi="Arial" w:cs="Arial"/>
          <w:sz w:val="24"/>
        </w:rPr>
        <w:t>a</w:t>
      </w:r>
      <w:r w:rsidR="00281E9B">
        <w:rPr>
          <w:rFonts w:ascii="Arial" w:hAnsi="Arial" w:cs="Arial"/>
          <w:sz w:val="24"/>
        </w:rPr>
        <w:t>nno</w:t>
      </w:r>
      <w:r>
        <w:rPr>
          <w:rFonts w:ascii="Arial" w:hAnsi="Arial" w:cs="Arial"/>
          <w:sz w:val="24"/>
        </w:rPr>
        <w:t xml:space="preserve"> traina</w:t>
      </w:r>
      <w:r w:rsidR="00281E9B">
        <w:rPr>
          <w:rFonts w:ascii="Arial" w:hAnsi="Arial" w:cs="Arial"/>
          <w:sz w:val="24"/>
        </w:rPr>
        <w:t>to</w:t>
      </w:r>
      <w:r>
        <w:rPr>
          <w:rFonts w:ascii="Arial" w:hAnsi="Arial" w:cs="Arial"/>
          <w:sz w:val="24"/>
        </w:rPr>
        <w:t xml:space="preserve"> il commercio tra le due nazioni;</w:t>
      </w:r>
    </w:p>
    <w:p w:rsidR="00281E9B" w:rsidRPr="00FC5360" w:rsidRDefault="00281E9B" w:rsidP="00281E9B">
      <w:pPr>
        <w:pStyle w:val="Paragrafoelenco"/>
        <w:numPr>
          <w:ilvl w:val="0"/>
          <w:numId w:val="2"/>
        </w:numPr>
        <w:tabs>
          <w:tab w:val="left" w:pos="1110"/>
        </w:tabs>
        <w:spacing w:after="120"/>
        <w:ind w:left="714" w:hanging="357"/>
        <w:contextualSpacing w:val="0"/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4"/>
        </w:rPr>
        <w:t>Il saldo commerciale è cresciuto del 13.8% tra gennaio 2019 e gennaio 2018. Si è, invece, ridotto del 5.25% tra gennaio 2019 e dicembre 2018.</w:t>
      </w:r>
    </w:p>
    <w:p w:rsidR="00D431BC" w:rsidRPr="00F17691" w:rsidRDefault="00D431BC" w:rsidP="00281E9B">
      <w:pPr>
        <w:pStyle w:val="Paragrafoelenco"/>
        <w:numPr>
          <w:ilvl w:val="0"/>
          <w:numId w:val="2"/>
        </w:numPr>
        <w:tabs>
          <w:tab w:val="left" w:pos="1110"/>
        </w:tabs>
        <w:spacing w:after="120"/>
        <w:ind w:left="714" w:hanging="357"/>
        <w:contextualSpacing w:val="0"/>
        <w:jc w:val="both"/>
        <w:rPr>
          <w:rFonts w:ascii="Arial" w:hAnsi="Arial" w:cs="Arial"/>
          <w:i/>
        </w:rPr>
      </w:pPr>
      <w:r w:rsidRPr="00F17691">
        <w:rPr>
          <w:rFonts w:ascii="Arial" w:hAnsi="Arial" w:cs="Arial"/>
          <w:sz w:val="24"/>
        </w:rPr>
        <w:t xml:space="preserve">A gennaio 2019, il grado di copertura commerciale si è ridotto su base tendenziale di poco più di </w:t>
      </w:r>
      <w:r w:rsidR="00E019E2">
        <w:rPr>
          <w:rFonts w:ascii="Arial" w:hAnsi="Arial" w:cs="Arial"/>
          <w:sz w:val="24"/>
        </w:rPr>
        <w:t>12</w:t>
      </w:r>
      <w:r w:rsidRPr="00F17691">
        <w:rPr>
          <w:rFonts w:ascii="Arial" w:hAnsi="Arial" w:cs="Arial"/>
          <w:sz w:val="24"/>
        </w:rPr>
        <w:t xml:space="preserve"> punti percentuali. Più marcata, è stata la riduzione su b</w:t>
      </w:r>
      <w:r w:rsidR="00E019E2">
        <w:rPr>
          <w:rFonts w:ascii="Arial" w:hAnsi="Arial" w:cs="Arial"/>
          <w:sz w:val="24"/>
        </w:rPr>
        <w:t xml:space="preserve">ase congiunturale </w:t>
      </w:r>
      <w:r w:rsidR="0084256E">
        <w:rPr>
          <w:rFonts w:ascii="Arial" w:hAnsi="Arial" w:cs="Arial"/>
          <w:sz w:val="24"/>
        </w:rPr>
        <w:t>che si è ridotta</w:t>
      </w:r>
      <w:r w:rsidR="00E019E2">
        <w:rPr>
          <w:rFonts w:ascii="Arial" w:hAnsi="Arial" w:cs="Arial"/>
          <w:sz w:val="24"/>
        </w:rPr>
        <w:t xml:space="preserve"> di 72 punti percentuali;</w:t>
      </w:r>
    </w:p>
    <w:p w:rsidR="00FC5360" w:rsidRPr="00006F8A" w:rsidRDefault="00FC5360" w:rsidP="00281E9B">
      <w:pPr>
        <w:pStyle w:val="Paragrafoelenco"/>
        <w:numPr>
          <w:ilvl w:val="0"/>
          <w:numId w:val="2"/>
        </w:numPr>
        <w:spacing w:after="120"/>
        <w:ind w:left="714" w:hanging="357"/>
        <w:contextualSpacing w:val="0"/>
        <w:rPr>
          <w:rFonts w:ascii="Arial" w:hAnsi="Arial" w:cs="Arial"/>
          <w:sz w:val="24"/>
        </w:rPr>
      </w:pPr>
      <w:r w:rsidRPr="00006F8A">
        <w:rPr>
          <w:rFonts w:ascii="Arial" w:hAnsi="Arial" w:cs="Arial"/>
          <w:sz w:val="24"/>
        </w:rPr>
        <w:t xml:space="preserve">Su </w:t>
      </w:r>
      <w:r w:rsidRPr="00E019E2">
        <w:rPr>
          <w:rFonts w:ascii="Arial" w:hAnsi="Arial" w:cs="Arial"/>
          <w:sz w:val="24"/>
        </w:rPr>
        <w:t>base congiunturale</w:t>
      </w:r>
      <w:r w:rsidRPr="00006F8A">
        <w:rPr>
          <w:rFonts w:ascii="Arial" w:hAnsi="Arial" w:cs="Arial"/>
          <w:sz w:val="24"/>
        </w:rPr>
        <w:t>, il volume del commercio agroalimentare con il Regno Unito è aumentato del 4.40%;</w:t>
      </w:r>
    </w:p>
    <w:p w:rsidR="00FC5360" w:rsidRDefault="00FC5360" w:rsidP="00281E9B">
      <w:pPr>
        <w:pStyle w:val="Paragrafoelenco"/>
        <w:numPr>
          <w:ilvl w:val="0"/>
          <w:numId w:val="2"/>
        </w:numPr>
        <w:spacing w:after="120"/>
        <w:ind w:left="714" w:hanging="357"/>
        <w:contextualSpacing w:val="0"/>
        <w:rPr>
          <w:rFonts w:ascii="Arial" w:hAnsi="Arial" w:cs="Arial"/>
          <w:sz w:val="24"/>
        </w:rPr>
      </w:pPr>
      <w:r w:rsidRPr="00E019E2">
        <w:rPr>
          <w:rFonts w:ascii="Arial" w:hAnsi="Arial" w:cs="Arial"/>
          <w:sz w:val="24"/>
        </w:rPr>
        <w:t>Su base tendenziale</w:t>
      </w:r>
      <w:r w:rsidRPr="00006F8A">
        <w:rPr>
          <w:rFonts w:ascii="Arial" w:hAnsi="Arial" w:cs="Arial"/>
          <w:sz w:val="24"/>
        </w:rPr>
        <w:t>, il volume del commercio agroalimentare con il Regno Unito è aumentato del +16.13%.</w:t>
      </w:r>
    </w:p>
    <w:p w:rsidR="00FC5360" w:rsidRPr="00EF59B4" w:rsidRDefault="00FC5360" w:rsidP="00FC5360">
      <w:pPr>
        <w:pStyle w:val="Paragrafoelenco"/>
        <w:tabs>
          <w:tab w:val="left" w:pos="1110"/>
        </w:tabs>
        <w:jc w:val="both"/>
        <w:rPr>
          <w:rFonts w:ascii="Arial" w:hAnsi="Arial" w:cs="Arial"/>
          <w:i/>
        </w:rPr>
      </w:pPr>
    </w:p>
    <w:p w:rsidR="00D431BC" w:rsidRPr="00C62DC5" w:rsidRDefault="00D431BC" w:rsidP="00D431BC">
      <w:pPr>
        <w:pStyle w:val="Paragrafoelenco"/>
        <w:tabs>
          <w:tab w:val="left" w:pos="1110"/>
        </w:tabs>
        <w:jc w:val="both"/>
        <w:rPr>
          <w:rFonts w:ascii="Arial" w:hAnsi="Arial" w:cs="Arial"/>
          <w:i/>
        </w:rPr>
      </w:pPr>
    </w:p>
    <w:p w:rsidR="00D431BC" w:rsidRDefault="00EF59B4" w:rsidP="00EF59B4">
      <w:pPr>
        <w:pStyle w:val="Paragrafoelenco"/>
        <w:tabs>
          <w:tab w:val="left" w:pos="1110"/>
        </w:tabs>
        <w:spacing w:line="240" w:lineRule="auto"/>
        <w:jc w:val="center"/>
        <w:rPr>
          <w:rFonts w:ascii="Arial" w:hAnsi="Arial" w:cs="Arial"/>
          <w:i/>
        </w:rPr>
      </w:pPr>
      <w:r w:rsidRPr="00D431BC">
        <w:rPr>
          <w:noProof/>
          <w:lang w:eastAsia="it-IT"/>
        </w:rPr>
        <w:drawing>
          <wp:anchor distT="0" distB="0" distL="114300" distR="114300" simplePos="0" relativeHeight="251666432" behindDoc="1" locked="0" layoutInCell="1" allowOverlap="1" wp14:anchorId="6C637371" wp14:editId="3E5094E9">
            <wp:simplePos x="0" y="0"/>
            <wp:positionH relativeFrom="column">
              <wp:posOffset>257810</wp:posOffset>
            </wp:positionH>
            <wp:positionV relativeFrom="paragraph">
              <wp:posOffset>222250</wp:posOffset>
            </wp:positionV>
            <wp:extent cx="5949950" cy="1778000"/>
            <wp:effectExtent l="0" t="0" r="0" b="0"/>
            <wp:wrapTight wrapText="bothSides">
              <wp:wrapPolygon edited="0">
                <wp:start x="0" y="0"/>
                <wp:lineTo x="0" y="21291"/>
                <wp:lineTo x="18672" y="21291"/>
                <wp:lineTo x="21508" y="19440"/>
                <wp:lineTo x="21508" y="18977"/>
                <wp:lineTo x="18672" y="18514"/>
                <wp:lineTo x="21508" y="17589"/>
                <wp:lineTo x="21508" y="15274"/>
                <wp:lineTo x="20609" y="14811"/>
                <wp:lineTo x="21508" y="13654"/>
                <wp:lineTo x="21508" y="7406"/>
                <wp:lineTo x="20816" y="7406"/>
                <wp:lineTo x="21508" y="5786"/>
                <wp:lineTo x="21508" y="0"/>
                <wp:lineTo x="0" y="0"/>
              </wp:wrapPolygon>
            </wp:wrapTight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31BC" w:rsidRPr="00D431BC">
        <w:rPr>
          <w:rFonts w:ascii="Arial" w:hAnsi="Arial" w:cs="Arial"/>
          <w:i/>
        </w:rPr>
        <w:t>Bilancia agroalimentare con il Regno Unito, gennaio 2019 (dati in migliaia di euro)</w:t>
      </w:r>
    </w:p>
    <w:p w:rsidR="00EF59B4" w:rsidRDefault="00EF59B4" w:rsidP="00EF59B4">
      <w:pPr>
        <w:tabs>
          <w:tab w:val="left" w:pos="1785"/>
          <w:tab w:val="left" w:pos="2535"/>
        </w:tabs>
        <w:spacing w:after="0" w:line="240" w:lineRule="auto"/>
        <w:jc w:val="center"/>
        <w:rPr>
          <w:rFonts w:ascii="Arial" w:hAnsi="Arial" w:cs="Arial"/>
        </w:rPr>
      </w:pPr>
      <w:r w:rsidRPr="00ED4E15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onte: Ufficio Studi Cia su dati </w:t>
      </w:r>
      <w:r w:rsidRPr="00ED4E15">
        <w:rPr>
          <w:rFonts w:ascii="Arial" w:hAnsi="Arial" w:cs="Arial"/>
        </w:rPr>
        <w:t>Istat</w:t>
      </w:r>
    </w:p>
    <w:p w:rsidR="00D431BC" w:rsidRDefault="00D431BC" w:rsidP="00D431BC">
      <w:pPr>
        <w:pStyle w:val="Paragrafoelenco"/>
        <w:tabs>
          <w:tab w:val="left" w:pos="1110"/>
        </w:tabs>
        <w:spacing w:line="240" w:lineRule="auto"/>
        <w:jc w:val="center"/>
        <w:rPr>
          <w:rFonts w:ascii="Arial" w:hAnsi="Arial" w:cs="Arial"/>
          <w:i/>
        </w:rPr>
      </w:pPr>
    </w:p>
    <w:p w:rsidR="00281E9B" w:rsidRDefault="00281E9B" w:rsidP="00F83482">
      <w:pPr>
        <w:pStyle w:val="Paragrafoelenco"/>
        <w:numPr>
          <w:ilvl w:val="0"/>
          <w:numId w:val="3"/>
        </w:numPr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Dal lato delle </w:t>
      </w:r>
      <w:r w:rsidRPr="0084256E">
        <w:rPr>
          <w:rFonts w:ascii="Arial" w:eastAsia="Arial" w:hAnsi="Arial"/>
          <w:sz w:val="24"/>
          <w:u w:val="single"/>
        </w:rPr>
        <w:t>esportazioni</w:t>
      </w:r>
      <w:r w:rsidRPr="006432A6">
        <w:rPr>
          <w:rFonts w:ascii="Arial" w:eastAsia="Arial" w:hAnsi="Arial"/>
          <w:sz w:val="24"/>
        </w:rPr>
        <w:t>,  i prodotti</w:t>
      </w:r>
      <w:r w:rsidRPr="006432A6">
        <w:rPr>
          <w:rFonts w:ascii="Arial" w:eastAsia="Arial" w:hAnsi="Arial"/>
          <w:sz w:val="24"/>
        </w:rPr>
        <w:t xml:space="preserve"> agroalimentari</w:t>
      </w:r>
      <w:r w:rsidRPr="00254DBF">
        <w:rPr>
          <w:rFonts w:ascii="Arial" w:eastAsia="Arial" w:hAnsi="Arial"/>
          <w:sz w:val="24"/>
        </w:rPr>
        <w:t xml:space="preserve"> hanno chiuso con il segno più rispetto a gennaio del 2018 con un valore pari al 15.3%</w:t>
      </w:r>
      <w:r w:rsidR="006432A6">
        <w:rPr>
          <w:rFonts w:ascii="Arial" w:eastAsia="Arial" w:hAnsi="Arial"/>
          <w:sz w:val="24"/>
        </w:rPr>
        <w:t xml:space="preserve"> (+1% su base mensile)</w:t>
      </w:r>
      <w:r w:rsidRPr="00254DBF">
        <w:rPr>
          <w:rFonts w:ascii="Arial" w:eastAsia="Arial" w:hAnsi="Arial"/>
          <w:sz w:val="24"/>
        </w:rPr>
        <w:t>;</w:t>
      </w:r>
    </w:p>
    <w:p w:rsidR="00F83482" w:rsidRPr="00254DBF" w:rsidRDefault="00281E9B" w:rsidP="00F83482">
      <w:pPr>
        <w:pStyle w:val="Paragrafoelenco"/>
        <w:numPr>
          <w:ilvl w:val="0"/>
          <w:numId w:val="3"/>
        </w:numPr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Per quanto riguarda la voce alimentare la crescita annua è </w:t>
      </w:r>
      <w:r w:rsidR="00F83482" w:rsidRPr="00254DBF">
        <w:rPr>
          <w:rFonts w:ascii="Arial" w:eastAsia="Arial" w:hAnsi="Arial"/>
          <w:sz w:val="24"/>
        </w:rPr>
        <w:t>stata pari al +17.3%</w:t>
      </w:r>
      <w:r>
        <w:rPr>
          <w:rFonts w:ascii="Arial" w:eastAsia="Arial" w:hAnsi="Arial"/>
          <w:sz w:val="24"/>
        </w:rPr>
        <w:t xml:space="preserve"> (+1,16% congiunturale)</w:t>
      </w:r>
      <w:r w:rsidR="00F83482" w:rsidRPr="00254DBF">
        <w:rPr>
          <w:rFonts w:ascii="Arial" w:eastAsia="Arial" w:hAnsi="Arial"/>
          <w:sz w:val="24"/>
        </w:rPr>
        <w:t>;</w:t>
      </w:r>
    </w:p>
    <w:p w:rsidR="00F83482" w:rsidRPr="00254DBF" w:rsidRDefault="00F83482" w:rsidP="00F83482">
      <w:pPr>
        <w:pStyle w:val="Paragrafoelenco"/>
        <w:numPr>
          <w:ilvl w:val="0"/>
          <w:numId w:val="3"/>
        </w:numPr>
        <w:rPr>
          <w:rFonts w:ascii="Arial" w:eastAsia="Arial" w:hAnsi="Arial"/>
          <w:sz w:val="24"/>
        </w:rPr>
      </w:pPr>
      <w:r w:rsidRPr="00254DBF">
        <w:rPr>
          <w:rFonts w:ascii="Arial" w:eastAsia="Arial" w:hAnsi="Arial"/>
          <w:sz w:val="24"/>
        </w:rPr>
        <w:t xml:space="preserve">Segno negativo per l’export agricolo che sia su base congiunturale che tendenziale </w:t>
      </w:r>
      <w:r w:rsidR="00281E9B">
        <w:rPr>
          <w:rFonts w:ascii="Arial" w:eastAsia="Arial" w:hAnsi="Arial"/>
          <w:sz w:val="24"/>
        </w:rPr>
        <w:t xml:space="preserve">ha chiuso a gennaio </w:t>
      </w:r>
      <w:r w:rsidRPr="00254DBF">
        <w:rPr>
          <w:rFonts w:ascii="Arial" w:eastAsia="Arial" w:hAnsi="Arial"/>
          <w:sz w:val="24"/>
        </w:rPr>
        <w:t>con valori sotto lo zero (-1.8% su base tendenziale, -3.77% su base congiunturale);</w:t>
      </w:r>
    </w:p>
    <w:p w:rsidR="00094CFB" w:rsidRDefault="00094CFB" w:rsidP="00094CFB">
      <w:pPr>
        <w:pStyle w:val="Paragrafoelenco"/>
        <w:jc w:val="center"/>
        <w:rPr>
          <w:rFonts w:ascii="Arial" w:eastAsia="Arial" w:hAnsi="Arial"/>
          <w:sz w:val="24"/>
        </w:rPr>
      </w:pPr>
    </w:p>
    <w:p w:rsidR="00094CFB" w:rsidRDefault="00094CFB" w:rsidP="00094CFB">
      <w:pPr>
        <w:pStyle w:val="Paragrafoelenco"/>
        <w:spacing w:line="240" w:lineRule="auto"/>
        <w:jc w:val="center"/>
        <w:rPr>
          <w:rFonts w:ascii="Arial" w:eastAsia="Arial" w:hAnsi="Arial"/>
          <w:sz w:val="24"/>
        </w:rPr>
      </w:pPr>
      <w:r>
        <w:rPr>
          <w:noProof/>
          <w:lang w:eastAsia="it-IT"/>
        </w:rPr>
        <w:drawing>
          <wp:anchor distT="0" distB="0" distL="114300" distR="114300" simplePos="0" relativeHeight="251671552" behindDoc="0" locked="0" layoutInCell="1" allowOverlap="1" wp14:anchorId="66A31A1E" wp14:editId="1A2DDEE5">
            <wp:simplePos x="0" y="0"/>
            <wp:positionH relativeFrom="column">
              <wp:posOffset>1085850</wp:posOffset>
            </wp:positionH>
            <wp:positionV relativeFrom="paragraph">
              <wp:posOffset>313690</wp:posOffset>
            </wp:positionV>
            <wp:extent cx="3985260" cy="2186940"/>
            <wp:effectExtent l="0" t="0" r="15240" b="22860"/>
            <wp:wrapTopAndBottom/>
            <wp:docPr id="14" name="Gra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5360">
        <w:rPr>
          <w:rFonts w:ascii="Arial" w:hAnsi="Arial" w:cs="Arial"/>
          <w:i/>
        </w:rPr>
        <w:t>Variazioni tendenziali e congiunturali export verso il Regno Unito (valori in migliaia di euro)</w:t>
      </w:r>
    </w:p>
    <w:p w:rsidR="00094CFB" w:rsidRPr="00094CFB" w:rsidRDefault="00094CFB" w:rsidP="00094CF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Fonte: Ufficio Studi Cia su dati Istat</w:t>
      </w:r>
    </w:p>
    <w:p w:rsidR="006432A6" w:rsidRDefault="00F83482" w:rsidP="00094CFB">
      <w:pPr>
        <w:pStyle w:val="Paragrafoelenco"/>
        <w:numPr>
          <w:ilvl w:val="0"/>
          <w:numId w:val="3"/>
        </w:numPr>
        <w:jc w:val="both"/>
        <w:rPr>
          <w:rFonts w:ascii="Arial" w:eastAsia="Arial" w:hAnsi="Arial"/>
          <w:sz w:val="24"/>
        </w:rPr>
      </w:pPr>
      <w:r w:rsidRPr="00254DBF">
        <w:rPr>
          <w:rFonts w:ascii="Arial" w:eastAsia="Arial" w:hAnsi="Arial"/>
          <w:sz w:val="24"/>
        </w:rPr>
        <w:t xml:space="preserve">Dal lato delle </w:t>
      </w:r>
      <w:r w:rsidRPr="0084256E">
        <w:rPr>
          <w:rFonts w:ascii="Arial" w:eastAsia="Arial" w:hAnsi="Arial"/>
          <w:sz w:val="24"/>
          <w:u w:val="single"/>
        </w:rPr>
        <w:t>importazioni</w:t>
      </w:r>
      <w:r w:rsidRPr="00254DBF">
        <w:rPr>
          <w:rFonts w:ascii="Arial" w:eastAsia="Arial" w:hAnsi="Arial"/>
          <w:sz w:val="24"/>
        </w:rPr>
        <w:t xml:space="preserve">, </w:t>
      </w:r>
      <w:r w:rsidR="006432A6" w:rsidRPr="00254DBF">
        <w:rPr>
          <w:rFonts w:ascii="Arial" w:eastAsia="Arial" w:hAnsi="Arial"/>
          <w:sz w:val="24"/>
        </w:rPr>
        <w:t>agroalimentare è cresciuto del 19.3%</w:t>
      </w:r>
      <w:r w:rsidR="006432A6">
        <w:rPr>
          <w:rFonts w:ascii="Arial" w:eastAsia="Arial" w:hAnsi="Arial"/>
          <w:sz w:val="24"/>
        </w:rPr>
        <w:t xml:space="preserve"> annuo mentre, rispetto al mese di dicembre del 2018, sono diminuite del 17%</w:t>
      </w:r>
      <w:r w:rsidR="006432A6" w:rsidRPr="00254DBF">
        <w:rPr>
          <w:rFonts w:ascii="Arial" w:eastAsia="Arial" w:hAnsi="Arial"/>
          <w:sz w:val="24"/>
        </w:rPr>
        <w:t>;</w:t>
      </w:r>
    </w:p>
    <w:p w:rsidR="00F83482" w:rsidRPr="00254DBF" w:rsidRDefault="006432A6" w:rsidP="00094CFB">
      <w:pPr>
        <w:pStyle w:val="Paragrafoelenco"/>
        <w:numPr>
          <w:ilvl w:val="0"/>
          <w:numId w:val="3"/>
        </w:numPr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Riguardo i beni alimentari, l’Istat, ha registrato u</w:t>
      </w:r>
      <w:r w:rsidR="00F83482" w:rsidRPr="00254DBF">
        <w:rPr>
          <w:rFonts w:ascii="Arial" w:eastAsia="Arial" w:hAnsi="Arial"/>
          <w:sz w:val="24"/>
        </w:rPr>
        <w:t>na variazione positiva sia annuale</w:t>
      </w:r>
      <w:r>
        <w:rPr>
          <w:rFonts w:ascii="Arial" w:eastAsia="Arial" w:hAnsi="Arial"/>
          <w:sz w:val="24"/>
        </w:rPr>
        <w:t xml:space="preserve"> </w:t>
      </w:r>
      <w:r w:rsidR="00F83482" w:rsidRPr="00254DBF">
        <w:rPr>
          <w:rFonts w:ascii="Arial" w:eastAsia="Arial" w:hAnsi="Arial"/>
          <w:sz w:val="24"/>
        </w:rPr>
        <w:t xml:space="preserve">che mensile </w:t>
      </w:r>
      <w:r>
        <w:rPr>
          <w:rFonts w:ascii="Arial" w:eastAsia="Arial" w:hAnsi="Arial"/>
          <w:sz w:val="24"/>
        </w:rPr>
        <w:t>circa pari al 24%</w:t>
      </w:r>
      <w:r w:rsidR="00F83482" w:rsidRPr="00254DBF">
        <w:rPr>
          <w:rFonts w:ascii="Arial" w:eastAsia="Arial" w:hAnsi="Arial"/>
          <w:sz w:val="24"/>
        </w:rPr>
        <w:t>;</w:t>
      </w:r>
    </w:p>
    <w:p w:rsidR="00F83482" w:rsidRDefault="00F83482" w:rsidP="00094CFB">
      <w:pPr>
        <w:pStyle w:val="Paragrafoelenco"/>
        <w:numPr>
          <w:ilvl w:val="0"/>
          <w:numId w:val="3"/>
        </w:numPr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In</w:t>
      </w:r>
      <w:r w:rsidR="00EF459D">
        <w:rPr>
          <w:rFonts w:ascii="Arial" w:eastAsia="Arial" w:hAnsi="Arial"/>
          <w:sz w:val="24"/>
        </w:rPr>
        <w:t>oltre</w:t>
      </w:r>
      <w:r>
        <w:rPr>
          <w:rFonts w:ascii="Arial" w:eastAsia="Arial" w:hAnsi="Arial"/>
          <w:sz w:val="24"/>
        </w:rPr>
        <w:t>, ci sono state delle v</w:t>
      </w:r>
      <w:r w:rsidRPr="00254DBF">
        <w:rPr>
          <w:rFonts w:ascii="Arial" w:eastAsia="Arial" w:hAnsi="Arial"/>
          <w:sz w:val="24"/>
        </w:rPr>
        <w:t>ariazioni tendenziali e congiunturali negative per le importazioni di beni agricoli</w:t>
      </w:r>
      <w:r w:rsidR="006432A6">
        <w:rPr>
          <w:rFonts w:ascii="Arial" w:eastAsia="Arial" w:hAnsi="Arial"/>
          <w:sz w:val="24"/>
        </w:rPr>
        <w:t xml:space="preserve"> (-12% annuo; -7% mensile).</w:t>
      </w:r>
      <w:r w:rsidRPr="00254DBF">
        <w:rPr>
          <w:rFonts w:ascii="Arial" w:eastAsia="Arial" w:hAnsi="Arial"/>
          <w:sz w:val="24"/>
        </w:rPr>
        <w:t>.</w:t>
      </w:r>
    </w:p>
    <w:p w:rsidR="006432A6" w:rsidRDefault="006432A6" w:rsidP="00094CFB">
      <w:pPr>
        <w:pStyle w:val="Paragrafoelenco"/>
        <w:tabs>
          <w:tab w:val="left" w:pos="1110"/>
        </w:tabs>
        <w:spacing w:line="240" w:lineRule="auto"/>
        <w:jc w:val="center"/>
        <w:rPr>
          <w:rFonts w:ascii="Arial" w:hAnsi="Arial" w:cs="Arial"/>
          <w:i/>
        </w:rPr>
      </w:pPr>
    </w:p>
    <w:p w:rsidR="00094CFB" w:rsidRDefault="00FC5360" w:rsidP="00094CFB">
      <w:pPr>
        <w:pStyle w:val="Paragrafoelenco"/>
        <w:tabs>
          <w:tab w:val="left" w:pos="1110"/>
        </w:tabs>
        <w:spacing w:line="240" w:lineRule="auto"/>
        <w:jc w:val="center"/>
        <w:rPr>
          <w:rFonts w:ascii="Arial" w:hAnsi="Arial" w:cs="Arial"/>
          <w:i/>
        </w:rPr>
      </w:pPr>
      <w:r>
        <w:rPr>
          <w:noProof/>
          <w:lang w:eastAsia="it-IT"/>
        </w:rPr>
        <w:drawing>
          <wp:anchor distT="0" distB="0" distL="114300" distR="114300" simplePos="0" relativeHeight="251670528" behindDoc="0" locked="0" layoutInCell="1" allowOverlap="1" wp14:anchorId="0CC2154E" wp14:editId="0CB80E8E">
            <wp:simplePos x="0" y="0"/>
            <wp:positionH relativeFrom="column">
              <wp:posOffset>1184910</wp:posOffset>
            </wp:positionH>
            <wp:positionV relativeFrom="paragraph">
              <wp:posOffset>207010</wp:posOffset>
            </wp:positionV>
            <wp:extent cx="3911600" cy="2400300"/>
            <wp:effectExtent l="0" t="0" r="12700" b="19050"/>
            <wp:wrapTopAndBottom/>
            <wp:docPr id="15" name="Gra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5360">
        <w:rPr>
          <w:rFonts w:ascii="Arial" w:hAnsi="Arial" w:cs="Arial"/>
          <w:i/>
        </w:rPr>
        <w:t>Variazioni tenden</w:t>
      </w:r>
      <w:r w:rsidR="00094CFB">
        <w:rPr>
          <w:rFonts w:ascii="Arial" w:hAnsi="Arial" w:cs="Arial"/>
          <w:i/>
        </w:rPr>
        <w:t xml:space="preserve">ziali e congiunturali </w:t>
      </w:r>
      <w:r w:rsidRPr="00FC5360">
        <w:rPr>
          <w:rFonts w:ascii="Arial" w:hAnsi="Arial" w:cs="Arial"/>
          <w:i/>
        </w:rPr>
        <w:t>import verso il Regno Unito (valori in migliaia di euro)</w:t>
      </w:r>
    </w:p>
    <w:p w:rsidR="00FC5360" w:rsidRPr="00094CFB" w:rsidRDefault="00FC5360" w:rsidP="00094CFB">
      <w:pPr>
        <w:pStyle w:val="Paragrafoelenco"/>
        <w:tabs>
          <w:tab w:val="left" w:pos="1110"/>
        </w:tabs>
        <w:spacing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</w:rPr>
        <w:lastRenderedPageBreak/>
        <w:t>Fonte: Ufficio Studi Cia su dati Istat</w:t>
      </w:r>
    </w:p>
    <w:p w:rsidR="00FC5360" w:rsidRPr="00FC5360" w:rsidRDefault="00FC5360" w:rsidP="00FC5360"/>
    <w:p w:rsidR="00094CFB" w:rsidRDefault="00FC5360" w:rsidP="006432A6">
      <w:pPr>
        <w:pStyle w:val="Paragrafoelenco"/>
        <w:numPr>
          <w:ilvl w:val="0"/>
          <w:numId w:val="5"/>
        </w:numPr>
        <w:jc w:val="both"/>
      </w:pPr>
      <w:r>
        <w:rPr>
          <w:rFonts w:ascii="Arial" w:hAnsi="Arial" w:cs="Arial"/>
          <w:sz w:val="24"/>
        </w:rPr>
        <w:t xml:space="preserve">Infine, se si guarda ai dati riportati nella tabella </w:t>
      </w:r>
      <w:r w:rsidR="006432A6">
        <w:rPr>
          <w:rFonts w:ascii="Arial" w:hAnsi="Arial" w:cs="Arial"/>
          <w:sz w:val="24"/>
        </w:rPr>
        <w:t>sottostante,</w:t>
      </w:r>
      <w:r>
        <w:rPr>
          <w:rFonts w:ascii="Arial" w:hAnsi="Arial" w:cs="Arial"/>
          <w:sz w:val="24"/>
        </w:rPr>
        <w:t xml:space="preserve"> si può notare</w:t>
      </w:r>
      <w:r w:rsidR="006432A6">
        <w:rPr>
          <w:rFonts w:ascii="Arial" w:hAnsi="Arial" w:cs="Arial"/>
          <w:sz w:val="24"/>
        </w:rPr>
        <w:t xml:space="preserve"> come il peso percentuale</w:t>
      </w:r>
      <w:r>
        <w:rPr>
          <w:rFonts w:ascii="Arial" w:hAnsi="Arial" w:cs="Arial"/>
          <w:sz w:val="24"/>
        </w:rPr>
        <w:t xml:space="preserve"> </w:t>
      </w:r>
      <w:r w:rsidR="006432A6">
        <w:rPr>
          <w:rFonts w:ascii="Arial" w:hAnsi="Arial" w:cs="Arial"/>
          <w:sz w:val="24"/>
        </w:rPr>
        <w:t xml:space="preserve">delle importazioni agroalimentari inglesi di origine italiana </w:t>
      </w:r>
      <w:r w:rsidR="007C289B">
        <w:rPr>
          <w:rFonts w:ascii="Arial" w:hAnsi="Arial" w:cs="Arial"/>
          <w:sz w:val="24"/>
        </w:rPr>
        <w:t>sui mercati (UE e mondiale)</w:t>
      </w:r>
      <w:r w:rsidR="006432A6">
        <w:rPr>
          <w:rFonts w:ascii="Arial" w:hAnsi="Arial" w:cs="Arial"/>
          <w:sz w:val="24"/>
        </w:rPr>
        <w:t xml:space="preserve"> sia cresciuto nel mese di gennaio 2019.   </w:t>
      </w:r>
    </w:p>
    <w:p w:rsidR="00094CFB" w:rsidRDefault="00094CFB" w:rsidP="00094CFB">
      <w:pPr>
        <w:pStyle w:val="Paragrafoelenco"/>
        <w:spacing w:line="240" w:lineRule="auto"/>
        <w:rPr>
          <w:rFonts w:ascii="Arial" w:hAnsi="Arial" w:cs="Arial"/>
          <w:i/>
        </w:rPr>
      </w:pPr>
    </w:p>
    <w:p w:rsidR="00FC5360" w:rsidRPr="00094CFB" w:rsidRDefault="007C289B" w:rsidP="007C289B">
      <w:pPr>
        <w:pStyle w:val="Paragrafoelenco"/>
        <w:spacing w:after="0" w:line="240" w:lineRule="auto"/>
        <w:contextualSpacing w:val="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Il peso</w:t>
      </w:r>
      <w:r w:rsidR="00094CFB" w:rsidRPr="00094CFB">
        <w:rPr>
          <w:rFonts w:ascii="Arial" w:hAnsi="Arial" w:cs="Arial"/>
          <w:i/>
        </w:rPr>
        <w:t xml:space="preserve"> delle esportazioni verso il Regno Unito su</w:t>
      </w:r>
      <w:r>
        <w:rPr>
          <w:rFonts w:ascii="Arial" w:hAnsi="Arial" w:cs="Arial"/>
          <w:i/>
        </w:rPr>
        <w:t>i mercati (valori; gennaio 2019)</w:t>
      </w:r>
      <w:r w:rsidR="00094CFB" w:rsidRPr="00094CFB">
        <w:rPr>
          <w:rFonts w:ascii="Arial" w:hAnsi="Arial" w:cs="Arial"/>
          <w:i/>
        </w:rPr>
        <w:t>.</w:t>
      </w:r>
    </w:p>
    <w:tbl>
      <w:tblPr>
        <w:tblW w:w="6220" w:type="dxa"/>
        <w:tblInd w:w="21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2360"/>
        <w:gridCol w:w="1880"/>
      </w:tblGrid>
      <w:tr w:rsidR="001F25D8" w:rsidRPr="001F25D8" w:rsidTr="00094CFB">
        <w:trPr>
          <w:trHeight w:val="29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F25D8" w:rsidRPr="001F25D8" w:rsidRDefault="001F25D8" w:rsidP="001F2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5D8">
              <w:rPr>
                <w:rFonts w:ascii="Calibri" w:eastAsia="Times New Roman" w:hAnsi="Calibri" w:cs="Calibri"/>
                <w:color w:val="000000"/>
                <w:lang w:eastAsia="it-IT"/>
              </w:rPr>
              <w:t>PERIODO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F25D8" w:rsidRPr="001F25D8" w:rsidRDefault="001F25D8" w:rsidP="001F2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5D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7C289B">
              <w:rPr>
                <w:rFonts w:ascii="Calibri" w:eastAsia="Times New Roman" w:hAnsi="Calibri" w:cs="Calibri"/>
                <w:color w:val="000000"/>
                <w:lang w:eastAsia="it-IT"/>
              </w:rPr>
              <w:t>MERCATO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F25D8" w:rsidRPr="001F25D8" w:rsidRDefault="001F25D8" w:rsidP="001F2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5D8">
              <w:rPr>
                <w:rFonts w:ascii="Calibri" w:eastAsia="Times New Roman" w:hAnsi="Calibri" w:cs="Calibri"/>
                <w:color w:val="000000"/>
                <w:lang w:eastAsia="it-IT"/>
              </w:rPr>
              <w:t>QUOTA (%)</w:t>
            </w:r>
          </w:p>
        </w:tc>
      </w:tr>
      <w:tr w:rsidR="001F25D8" w:rsidRPr="001F25D8" w:rsidTr="00094CFB">
        <w:trPr>
          <w:trHeight w:val="290"/>
        </w:trPr>
        <w:tc>
          <w:tcPr>
            <w:tcW w:w="19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5D8" w:rsidRPr="001F25D8" w:rsidRDefault="001F25D8" w:rsidP="001F2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1F25D8">
              <w:rPr>
                <w:rFonts w:ascii="Calibri" w:eastAsia="Times New Roman" w:hAnsi="Calibri" w:cs="Calibri"/>
                <w:color w:val="000000"/>
                <w:lang w:eastAsia="it-IT"/>
              </w:rPr>
              <w:t>gen</w:t>
            </w:r>
            <w:proofErr w:type="spellEnd"/>
            <w:r w:rsidRPr="001F25D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'19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5D8" w:rsidRPr="001F25D8" w:rsidRDefault="001F25D8" w:rsidP="001F2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5D8">
              <w:rPr>
                <w:rFonts w:ascii="Calibri" w:eastAsia="Times New Roman" w:hAnsi="Calibri" w:cs="Calibri"/>
                <w:color w:val="000000"/>
                <w:lang w:eastAsia="it-IT"/>
              </w:rPr>
              <w:t>UE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5D8" w:rsidRPr="001F25D8" w:rsidRDefault="001F25D8" w:rsidP="001F2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5D8">
              <w:rPr>
                <w:rFonts w:ascii="Calibri" w:eastAsia="Times New Roman" w:hAnsi="Calibri" w:cs="Calibri"/>
                <w:color w:val="000000"/>
                <w:lang w:eastAsia="it-IT"/>
              </w:rPr>
              <w:t>12,31%</w:t>
            </w:r>
            <w:r w:rsidR="00EF459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</w:tr>
      <w:tr w:rsidR="001F25D8" w:rsidRPr="001F25D8" w:rsidTr="00094CFB">
        <w:trPr>
          <w:trHeight w:val="290"/>
        </w:trPr>
        <w:tc>
          <w:tcPr>
            <w:tcW w:w="19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5D8" w:rsidRPr="001F25D8" w:rsidRDefault="001F25D8" w:rsidP="001F2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5D8" w:rsidRPr="001F25D8" w:rsidRDefault="001F25D8" w:rsidP="001F2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5D8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5D8" w:rsidRPr="001F25D8" w:rsidRDefault="001F25D8" w:rsidP="001F2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5D8">
              <w:rPr>
                <w:rFonts w:ascii="Calibri" w:eastAsia="Times New Roman" w:hAnsi="Calibri" w:cs="Calibri"/>
                <w:color w:val="000000"/>
                <w:lang w:eastAsia="it-IT"/>
              </w:rPr>
              <w:t>8,22%</w:t>
            </w:r>
          </w:p>
        </w:tc>
      </w:tr>
      <w:tr w:rsidR="001F25D8" w:rsidRPr="001F25D8" w:rsidTr="00094CFB">
        <w:trPr>
          <w:trHeight w:val="290"/>
        </w:trPr>
        <w:tc>
          <w:tcPr>
            <w:tcW w:w="19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F25D8" w:rsidRPr="001F25D8" w:rsidRDefault="001F25D8" w:rsidP="001F2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1F25D8">
              <w:rPr>
                <w:rFonts w:ascii="Calibri" w:eastAsia="Times New Roman" w:hAnsi="Calibri" w:cs="Calibri"/>
                <w:color w:val="000000"/>
                <w:lang w:eastAsia="it-IT"/>
              </w:rPr>
              <w:t>gen</w:t>
            </w:r>
            <w:proofErr w:type="spellEnd"/>
            <w:r w:rsidRPr="001F25D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'18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5D8" w:rsidRPr="001F25D8" w:rsidRDefault="001F25D8" w:rsidP="001F2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5D8">
              <w:rPr>
                <w:rFonts w:ascii="Calibri" w:eastAsia="Times New Roman" w:hAnsi="Calibri" w:cs="Calibri"/>
                <w:color w:val="000000"/>
                <w:lang w:eastAsia="it-IT"/>
              </w:rPr>
              <w:t>UE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5D8" w:rsidRPr="001F25D8" w:rsidRDefault="001F25D8" w:rsidP="001F2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5D8">
              <w:rPr>
                <w:rFonts w:ascii="Calibri" w:eastAsia="Times New Roman" w:hAnsi="Calibri" w:cs="Calibri"/>
                <w:color w:val="000000"/>
                <w:lang w:eastAsia="it-IT"/>
              </w:rPr>
              <w:t>11,22%</w:t>
            </w:r>
          </w:p>
        </w:tc>
      </w:tr>
      <w:tr w:rsidR="001F25D8" w:rsidRPr="001F25D8" w:rsidTr="00094CFB">
        <w:trPr>
          <w:trHeight w:val="290"/>
        </w:trPr>
        <w:tc>
          <w:tcPr>
            <w:tcW w:w="19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F25D8" w:rsidRPr="001F25D8" w:rsidRDefault="001F25D8" w:rsidP="001F2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5D8" w:rsidRPr="001F25D8" w:rsidRDefault="001F25D8" w:rsidP="001F2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5D8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5D8" w:rsidRPr="001F25D8" w:rsidRDefault="001F25D8" w:rsidP="001F2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25D8">
              <w:rPr>
                <w:rFonts w:ascii="Calibri" w:eastAsia="Times New Roman" w:hAnsi="Calibri" w:cs="Calibri"/>
                <w:color w:val="000000"/>
                <w:lang w:eastAsia="it-IT"/>
              </w:rPr>
              <w:t>7,44%</w:t>
            </w:r>
          </w:p>
        </w:tc>
      </w:tr>
    </w:tbl>
    <w:p w:rsidR="00FC5360" w:rsidRPr="00FC5360" w:rsidRDefault="00094CFB" w:rsidP="00094CFB">
      <w:pPr>
        <w:jc w:val="center"/>
      </w:pPr>
      <w:r>
        <w:rPr>
          <w:rFonts w:ascii="Arial" w:hAnsi="Arial" w:cs="Arial"/>
        </w:rPr>
        <w:t>Fonte: Ufficio Studi Cia su dati Istat</w:t>
      </w:r>
    </w:p>
    <w:p w:rsidR="00F83482" w:rsidRPr="00FC5360" w:rsidRDefault="00F83482" w:rsidP="00FC5360"/>
    <w:sectPr w:rsidR="00F83482" w:rsidRPr="00FC5360">
      <w:headerReference w:type="default" r:id="rId17"/>
      <w:foot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18F" w:rsidRDefault="007C218F" w:rsidP="00914DA0">
      <w:pPr>
        <w:spacing w:after="0" w:line="240" w:lineRule="auto"/>
      </w:pPr>
      <w:r>
        <w:separator/>
      </w:r>
    </w:p>
  </w:endnote>
  <w:endnote w:type="continuationSeparator" w:id="0">
    <w:p w:rsidR="007C218F" w:rsidRDefault="007C218F" w:rsidP="00914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9553585"/>
      <w:docPartObj>
        <w:docPartGallery w:val="Page Numbers (Bottom of Page)"/>
        <w:docPartUnique/>
      </w:docPartObj>
    </w:sdtPr>
    <w:sdtEndPr/>
    <w:sdtContent>
      <w:p w:rsidR="00972651" w:rsidRDefault="0097265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89B">
          <w:rPr>
            <w:noProof/>
          </w:rPr>
          <w:t>4</w:t>
        </w:r>
        <w:r>
          <w:fldChar w:fldCharType="end"/>
        </w:r>
      </w:p>
    </w:sdtContent>
  </w:sdt>
  <w:p w:rsidR="00972651" w:rsidRDefault="0097265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18F" w:rsidRDefault="007C218F" w:rsidP="00914DA0">
      <w:pPr>
        <w:spacing w:after="0" w:line="240" w:lineRule="auto"/>
      </w:pPr>
      <w:r>
        <w:separator/>
      </w:r>
    </w:p>
  </w:footnote>
  <w:footnote w:type="continuationSeparator" w:id="0">
    <w:p w:rsidR="007C218F" w:rsidRDefault="007C218F" w:rsidP="00914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74B" w:rsidRDefault="00E4774B" w:rsidP="00E4774B">
    <w:pPr>
      <w:tabs>
        <w:tab w:val="center" w:pos="4819"/>
        <w:tab w:val="right" w:pos="9638"/>
      </w:tabs>
      <w:spacing w:after="0" w:line="240" w:lineRule="auto"/>
      <w:rPr>
        <w:i/>
        <w:sz w:val="20"/>
        <w:szCs w:val="20"/>
      </w:rPr>
    </w:pPr>
    <w:r w:rsidRPr="00E4774B">
      <w:rPr>
        <w:i/>
        <w:sz w:val="20"/>
        <w:szCs w:val="20"/>
      </w:rPr>
      <w:t xml:space="preserve">A cura dell’Ufficio studi e analisi economico-legislative                                                                            </w:t>
    </w:r>
    <w:r w:rsidRPr="00E4774B">
      <w:rPr>
        <w:rFonts w:eastAsia="Times New Roman"/>
        <w:noProof/>
        <w:lang w:eastAsia="it-IT"/>
      </w:rPr>
      <w:drawing>
        <wp:inline distT="0" distB="0" distL="0" distR="0" wp14:anchorId="41439AC0" wp14:editId="5994A080">
          <wp:extent cx="621681" cy="428625"/>
          <wp:effectExtent l="0" t="0" r="6985" b="0"/>
          <wp:docPr id="22" name="Immagine 22" descr="cid:87389F3D-4926-4550-A65E-DAF73CD7836E@cia-italia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5CD5962-687E-409F-A0D5-DA8AF58BDE9B" descr="cid:87389F3D-4926-4550-A65E-DAF73CD7836E@cia-italia.local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555" cy="4306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4774B">
      <w:rPr>
        <w:i/>
        <w:sz w:val="20"/>
        <w:szCs w:val="20"/>
      </w:rPr>
      <w:t xml:space="preserve">      </w:t>
    </w:r>
  </w:p>
  <w:p w:rsidR="00E4774B" w:rsidRPr="00E4774B" w:rsidRDefault="00E4774B" w:rsidP="00E4774B">
    <w:pPr>
      <w:tabs>
        <w:tab w:val="center" w:pos="4819"/>
        <w:tab w:val="right" w:pos="9638"/>
      </w:tabs>
      <w:spacing w:after="0" w:line="240" w:lineRule="auto"/>
    </w:pPr>
    <w:r w:rsidRPr="00E4774B">
      <w:rPr>
        <w:i/>
        <w:sz w:val="20"/>
        <w:szCs w:val="20"/>
      </w:rPr>
      <w:t xml:space="preserve">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43AE1"/>
    <w:multiLevelType w:val="hybridMultilevel"/>
    <w:tmpl w:val="15A26F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72E2C"/>
    <w:multiLevelType w:val="hybridMultilevel"/>
    <w:tmpl w:val="23DE69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BF1AF4"/>
    <w:multiLevelType w:val="hybridMultilevel"/>
    <w:tmpl w:val="D4DEF4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937ACC"/>
    <w:multiLevelType w:val="hybridMultilevel"/>
    <w:tmpl w:val="4B267A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EA17B9"/>
    <w:multiLevelType w:val="hybridMultilevel"/>
    <w:tmpl w:val="A75E58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A7B"/>
    <w:rsid w:val="00013AB7"/>
    <w:rsid w:val="00014117"/>
    <w:rsid w:val="00040AF6"/>
    <w:rsid w:val="00041426"/>
    <w:rsid w:val="0005279E"/>
    <w:rsid w:val="00052C22"/>
    <w:rsid w:val="00055D91"/>
    <w:rsid w:val="00065583"/>
    <w:rsid w:val="00086121"/>
    <w:rsid w:val="000923D1"/>
    <w:rsid w:val="00094CFB"/>
    <w:rsid w:val="000A6248"/>
    <w:rsid w:val="000A67AD"/>
    <w:rsid w:val="000B0001"/>
    <w:rsid w:val="000B05EC"/>
    <w:rsid w:val="000C4F0A"/>
    <w:rsid w:val="000C7246"/>
    <w:rsid w:val="000D0723"/>
    <w:rsid w:val="000D0DE3"/>
    <w:rsid w:val="000D5FC5"/>
    <w:rsid w:val="000D7EFB"/>
    <w:rsid w:val="000E4369"/>
    <w:rsid w:val="00104760"/>
    <w:rsid w:val="00123C63"/>
    <w:rsid w:val="0014376B"/>
    <w:rsid w:val="001661D3"/>
    <w:rsid w:val="001A4D44"/>
    <w:rsid w:val="001A6A1C"/>
    <w:rsid w:val="001C4BB7"/>
    <w:rsid w:val="001C7D69"/>
    <w:rsid w:val="001D4B09"/>
    <w:rsid w:val="001D6A89"/>
    <w:rsid w:val="001E6D2A"/>
    <w:rsid w:val="001F25D8"/>
    <w:rsid w:val="001F626C"/>
    <w:rsid w:val="00226A7B"/>
    <w:rsid w:val="0023375B"/>
    <w:rsid w:val="00246EB7"/>
    <w:rsid w:val="002571C8"/>
    <w:rsid w:val="002605E9"/>
    <w:rsid w:val="00273BC9"/>
    <w:rsid w:val="0027730F"/>
    <w:rsid w:val="00281E9B"/>
    <w:rsid w:val="00294CDD"/>
    <w:rsid w:val="0029772E"/>
    <w:rsid w:val="002A1890"/>
    <w:rsid w:val="002A18DC"/>
    <w:rsid w:val="002C2084"/>
    <w:rsid w:val="002D5986"/>
    <w:rsid w:val="002E1AE2"/>
    <w:rsid w:val="002E3D2C"/>
    <w:rsid w:val="002F052A"/>
    <w:rsid w:val="00313090"/>
    <w:rsid w:val="00314CBD"/>
    <w:rsid w:val="00335C4D"/>
    <w:rsid w:val="00346298"/>
    <w:rsid w:val="003462CC"/>
    <w:rsid w:val="00381427"/>
    <w:rsid w:val="0039279B"/>
    <w:rsid w:val="003A4FE2"/>
    <w:rsid w:val="003C6876"/>
    <w:rsid w:val="003E74B6"/>
    <w:rsid w:val="003F2A9C"/>
    <w:rsid w:val="0041001F"/>
    <w:rsid w:val="00424F25"/>
    <w:rsid w:val="00437094"/>
    <w:rsid w:val="00446013"/>
    <w:rsid w:val="00460C6F"/>
    <w:rsid w:val="00464E13"/>
    <w:rsid w:val="004704D0"/>
    <w:rsid w:val="00477176"/>
    <w:rsid w:val="00480F21"/>
    <w:rsid w:val="004877D3"/>
    <w:rsid w:val="00494695"/>
    <w:rsid w:val="00495CA7"/>
    <w:rsid w:val="004A3C12"/>
    <w:rsid w:val="004B1F1B"/>
    <w:rsid w:val="004C0EB8"/>
    <w:rsid w:val="004D1975"/>
    <w:rsid w:val="004F0E7A"/>
    <w:rsid w:val="00510173"/>
    <w:rsid w:val="00514B2C"/>
    <w:rsid w:val="00516907"/>
    <w:rsid w:val="00517EDB"/>
    <w:rsid w:val="005326E4"/>
    <w:rsid w:val="00533A96"/>
    <w:rsid w:val="00542814"/>
    <w:rsid w:val="00581C41"/>
    <w:rsid w:val="005B1613"/>
    <w:rsid w:val="005B1F9C"/>
    <w:rsid w:val="005B28E2"/>
    <w:rsid w:val="005C2E83"/>
    <w:rsid w:val="005C3EE7"/>
    <w:rsid w:val="005F33EF"/>
    <w:rsid w:val="00616DB6"/>
    <w:rsid w:val="00622E29"/>
    <w:rsid w:val="0062615B"/>
    <w:rsid w:val="006432A6"/>
    <w:rsid w:val="00672B6F"/>
    <w:rsid w:val="006919D1"/>
    <w:rsid w:val="006970E4"/>
    <w:rsid w:val="006A5362"/>
    <w:rsid w:val="006C2444"/>
    <w:rsid w:val="006E3E72"/>
    <w:rsid w:val="006F5ABC"/>
    <w:rsid w:val="00701387"/>
    <w:rsid w:val="00703B4E"/>
    <w:rsid w:val="00707703"/>
    <w:rsid w:val="007566AD"/>
    <w:rsid w:val="00763604"/>
    <w:rsid w:val="00773FBC"/>
    <w:rsid w:val="0079289E"/>
    <w:rsid w:val="00796F03"/>
    <w:rsid w:val="007A2F20"/>
    <w:rsid w:val="007C218F"/>
    <w:rsid w:val="007C289B"/>
    <w:rsid w:val="007E1C89"/>
    <w:rsid w:val="007E35EF"/>
    <w:rsid w:val="007E5CE9"/>
    <w:rsid w:val="00811F79"/>
    <w:rsid w:val="00816185"/>
    <w:rsid w:val="0084256E"/>
    <w:rsid w:val="00854655"/>
    <w:rsid w:val="00880C1C"/>
    <w:rsid w:val="00884A0B"/>
    <w:rsid w:val="008A0A7B"/>
    <w:rsid w:val="008A248E"/>
    <w:rsid w:val="008A5E7E"/>
    <w:rsid w:val="008C4BD3"/>
    <w:rsid w:val="008D5814"/>
    <w:rsid w:val="00900BD0"/>
    <w:rsid w:val="00902942"/>
    <w:rsid w:val="009046D4"/>
    <w:rsid w:val="00914DA0"/>
    <w:rsid w:val="00935AF3"/>
    <w:rsid w:val="0094200D"/>
    <w:rsid w:val="009563CF"/>
    <w:rsid w:val="009632F3"/>
    <w:rsid w:val="009650B4"/>
    <w:rsid w:val="00972651"/>
    <w:rsid w:val="0099573B"/>
    <w:rsid w:val="00A078F6"/>
    <w:rsid w:val="00A10C81"/>
    <w:rsid w:val="00A24FA2"/>
    <w:rsid w:val="00A46CF5"/>
    <w:rsid w:val="00A47DFB"/>
    <w:rsid w:val="00A53720"/>
    <w:rsid w:val="00A55750"/>
    <w:rsid w:val="00A61F1D"/>
    <w:rsid w:val="00A66902"/>
    <w:rsid w:val="00AD4493"/>
    <w:rsid w:val="00AF1DE5"/>
    <w:rsid w:val="00B03636"/>
    <w:rsid w:val="00B15749"/>
    <w:rsid w:val="00B422FA"/>
    <w:rsid w:val="00B433A5"/>
    <w:rsid w:val="00B578BD"/>
    <w:rsid w:val="00B61217"/>
    <w:rsid w:val="00B858DB"/>
    <w:rsid w:val="00BA27EC"/>
    <w:rsid w:val="00BA67B9"/>
    <w:rsid w:val="00BB059B"/>
    <w:rsid w:val="00BB3ADA"/>
    <w:rsid w:val="00BB631F"/>
    <w:rsid w:val="00BD1209"/>
    <w:rsid w:val="00C02162"/>
    <w:rsid w:val="00C036CB"/>
    <w:rsid w:val="00C10003"/>
    <w:rsid w:val="00C11820"/>
    <w:rsid w:val="00C849F6"/>
    <w:rsid w:val="00C8583F"/>
    <w:rsid w:val="00C96BE7"/>
    <w:rsid w:val="00CD3640"/>
    <w:rsid w:val="00CD7FBE"/>
    <w:rsid w:val="00CE0E82"/>
    <w:rsid w:val="00D06A65"/>
    <w:rsid w:val="00D2354C"/>
    <w:rsid w:val="00D431BC"/>
    <w:rsid w:val="00D47CB3"/>
    <w:rsid w:val="00D47EF2"/>
    <w:rsid w:val="00D5550C"/>
    <w:rsid w:val="00D76E1E"/>
    <w:rsid w:val="00D84C72"/>
    <w:rsid w:val="00D91FA4"/>
    <w:rsid w:val="00DA40A2"/>
    <w:rsid w:val="00DC1E95"/>
    <w:rsid w:val="00DE175B"/>
    <w:rsid w:val="00DF6119"/>
    <w:rsid w:val="00E019E2"/>
    <w:rsid w:val="00E178FC"/>
    <w:rsid w:val="00E17E57"/>
    <w:rsid w:val="00E315FC"/>
    <w:rsid w:val="00E441C0"/>
    <w:rsid w:val="00E4774B"/>
    <w:rsid w:val="00E57976"/>
    <w:rsid w:val="00E804DE"/>
    <w:rsid w:val="00ED4E15"/>
    <w:rsid w:val="00EE536E"/>
    <w:rsid w:val="00EF011C"/>
    <w:rsid w:val="00EF459D"/>
    <w:rsid w:val="00EF59B4"/>
    <w:rsid w:val="00EF7477"/>
    <w:rsid w:val="00F06398"/>
    <w:rsid w:val="00F070AE"/>
    <w:rsid w:val="00F169BD"/>
    <w:rsid w:val="00F17691"/>
    <w:rsid w:val="00F74A9A"/>
    <w:rsid w:val="00F83482"/>
    <w:rsid w:val="00F85472"/>
    <w:rsid w:val="00F90678"/>
    <w:rsid w:val="00F96AD4"/>
    <w:rsid w:val="00FA4510"/>
    <w:rsid w:val="00FB268E"/>
    <w:rsid w:val="00FC5360"/>
    <w:rsid w:val="00FD3960"/>
    <w:rsid w:val="00FE4604"/>
    <w:rsid w:val="00FE59CC"/>
    <w:rsid w:val="00FF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79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uiPriority w:val="99"/>
    <w:semiHidden/>
    <w:unhideWhenUsed/>
    <w:rsid w:val="00E57976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E57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797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14D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4DA0"/>
  </w:style>
  <w:style w:type="paragraph" w:styleId="Pidipagina">
    <w:name w:val="footer"/>
    <w:basedOn w:val="Normale"/>
    <w:link w:val="PidipaginaCarattere"/>
    <w:uiPriority w:val="99"/>
    <w:unhideWhenUsed/>
    <w:rsid w:val="00914D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4DA0"/>
  </w:style>
  <w:style w:type="paragraph" w:styleId="Paragrafoelenco">
    <w:name w:val="List Paragraph"/>
    <w:basedOn w:val="Normale"/>
    <w:uiPriority w:val="34"/>
    <w:qFormat/>
    <w:rsid w:val="00581C4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F626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F626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79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uiPriority w:val="99"/>
    <w:semiHidden/>
    <w:unhideWhenUsed/>
    <w:rsid w:val="00E57976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E57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797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14D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4DA0"/>
  </w:style>
  <w:style w:type="paragraph" w:styleId="Pidipagina">
    <w:name w:val="footer"/>
    <w:basedOn w:val="Normale"/>
    <w:link w:val="PidipaginaCarattere"/>
    <w:uiPriority w:val="99"/>
    <w:unhideWhenUsed/>
    <w:rsid w:val="00914D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4DA0"/>
  </w:style>
  <w:style w:type="paragraph" w:styleId="Paragrafoelenco">
    <w:name w:val="List Paragraph"/>
    <w:basedOn w:val="Normale"/>
    <w:uiPriority w:val="34"/>
    <w:qFormat/>
    <w:rsid w:val="00581C4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F626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F626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87389F3D-4926-4550-A65E-DAF73CD7836E@cia-italia.local" TargetMode="External"/><Relationship Id="rId1" Type="http://schemas.openxmlformats.org/officeDocument/2006/relationships/image" Target="media/image7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tizia.pittiglio\Documents\Analisi%20economica\commercio%20estero_19%20marzo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tizia.pittiglio\Documents\Analisi%20economica\commercio%20estero_19%20marzo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1427660930528999E-2"/>
          <c:y val="0.19091241643575041"/>
          <c:w val="0.92989165073295088"/>
          <c:h val="0.55006721720760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Brexit!$Y$2:$Y$3</c:f>
              <c:strCache>
                <c:ptCount val="1"/>
                <c:pt idx="0">
                  <c:v> Var.% (gen '19/gen '18)</c:v>
                </c:pt>
              </c:strCache>
            </c:strRef>
          </c:tx>
          <c:spPr>
            <a:solidFill>
              <a:srgbClr val="92D050"/>
            </a:solidFill>
            <a:ln w="12700"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9590492089051722E-2"/>
                  <c:y val="0.1759268980266355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ln>
                <a:solidFill>
                  <a:sysClr val="windowText" lastClr="000000"/>
                </a:solidFill>
              </a:ln>
            </c:sp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multiLvlStrRef>
              <c:f>Brexit!$W$4:$X$6</c:f>
              <c:multiLvlStrCache>
                <c:ptCount val="3"/>
                <c:lvl>
                  <c:pt idx="0">
                    <c:v>Agroalimentare</c:v>
                  </c:pt>
                  <c:pt idx="1">
                    <c:v>Agricolo</c:v>
                  </c:pt>
                  <c:pt idx="2">
                    <c:v>Alimentare</c:v>
                  </c:pt>
                </c:lvl>
                <c:lvl>
                  <c:pt idx="0">
                    <c:v>EXPORT</c:v>
                  </c:pt>
                </c:lvl>
              </c:multiLvlStrCache>
            </c:multiLvlStrRef>
          </c:cat>
          <c:val>
            <c:numRef>
              <c:f>Brexit!$Y$4:$Y$6</c:f>
              <c:numCache>
                <c:formatCode>0.0%</c:formatCode>
                <c:ptCount val="3"/>
                <c:pt idx="0">
                  <c:v>0.15292964233636219</c:v>
                </c:pt>
                <c:pt idx="1">
                  <c:v>-1.8051694988920342E-2</c:v>
                </c:pt>
                <c:pt idx="2">
                  <c:v>0.17332708365548166</c:v>
                </c:pt>
              </c:numCache>
            </c:numRef>
          </c:val>
        </c:ser>
        <c:ser>
          <c:idx val="1"/>
          <c:order val="1"/>
          <c:tx>
            <c:strRef>
              <c:f>Brexit!$Z$2:$Z$3</c:f>
              <c:strCache>
                <c:ptCount val="1"/>
                <c:pt idx="0">
                  <c:v>Var.% (gen '19/dic '18)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1.388888888888888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7923653070570681E-2"/>
                  <c:y val="0.2083343054340429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5146031230148764E-2"/>
                  <c:y val="5.65837084800888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ln>
                <a:solidFill>
                  <a:sysClr val="windowText" lastClr="000000"/>
                </a:solidFill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Brexit!$W$4:$X$6</c:f>
              <c:multiLvlStrCache>
                <c:ptCount val="3"/>
                <c:lvl>
                  <c:pt idx="0">
                    <c:v>Agroalimentare</c:v>
                  </c:pt>
                  <c:pt idx="1">
                    <c:v>Agricolo</c:v>
                  </c:pt>
                  <c:pt idx="2">
                    <c:v>Alimentare</c:v>
                  </c:pt>
                </c:lvl>
                <c:lvl>
                  <c:pt idx="0">
                    <c:v>EXPORT</c:v>
                  </c:pt>
                </c:lvl>
              </c:multiLvlStrCache>
            </c:multiLvlStrRef>
          </c:cat>
          <c:val>
            <c:numRef>
              <c:f>Brexit!$Z$4:$Z$6</c:f>
              <c:numCache>
                <c:formatCode>0.00%</c:formatCode>
                <c:ptCount val="3"/>
                <c:pt idx="0">
                  <c:v>6.8846166897285066E-3</c:v>
                </c:pt>
                <c:pt idx="1">
                  <c:v>-3.7710384248967888E-2</c:v>
                </c:pt>
                <c:pt idx="2">
                  <c:v>1.1564883747088972E-2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19"/>
        <c:axId val="198446464"/>
        <c:axId val="206419072"/>
      </c:barChart>
      <c:catAx>
        <c:axId val="198446464"/>
        <c:scaling>
          <c:orientation val="minMax"/>
        </c:scaling>
        <c:delete val="0"/>
        <c:axPos val="b"/>
        <c:majorTickMark val="none"/>
        <c:minorTickMark val="none"/>
        <c:tickLblPos val="low"/>
        <c:txPr>
          <a:bodyPr/>
          <a:lstStyle/>
          <a:p>
            <a:pPr>
              <a:defRPr sz="900"/>
            </a:pPr>
            <a:endParaRPr lang="it-IT"/>
          </a:p>
        </c:txPr>
        <c:crossAx val="206419072"/>
        <c:crosses val="autoZero"/>
        <c:auto val="1"/>
        <c:lblAlgn val="ctr"/>
        <c:lblOffset val="100"/>
        <c:noMultiLvlLbl val="0"/>
      </c:catAx>
      <c:valAx>
        <c:axId val="206419072"/>
        <c:scaling>
          <c:orientation val="minMax"/>
        </c:scaling>
        <c:delete val="1"/>
        <c:axPos val="l"/>
        <c:numFmt formatCode="0.0%" sourceLinked="1"/>
        <c:majorTickMark val="out"/>
        <c:minorTickMark val="none"/>
        <c:tickLblPos val="nextTo"/>
        <c:crossAx val="198446464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2.188755020080321E-2"/>
          <c:y val="2.4691358024691357E-2"/>
          <c:w val="0.61084337349397588"/>
          <c:h val="0.14120443277923592"/>
        </c:manualLayout>
      </c:layout>
      <c:overlay val="0"/>
      <c:spPr>
        <a:ln w="12700">
          <a:solidFill>
            <a:sysClr val="windowText" lastClr="000000"/>
          </a:solidFill>
        </a:ln>
      </c:spPr>
      <c:txPr>
        <a:bodyPr/>
        <a:lstStyle/>
        <a:p>
          <a:pPr>
            <a:defRPr b="1"/>
          </a:pPr>
          <a:endParaRPr lang="it-IT"/>
        </a:p>
      </c:txPr>
    </c:legend>
    <c:plotVisOnly val="1"/>
    <c:dispBlanksAs val="gap"/>
    <c:showDLblsOverMax val="0"/>
  </c:chart>
  <c:txPr>
    <a:bodyPr/>
    <a:lstStyle/>
    <a:p>
      <a:pPr>
        <a:defRPr sz="900" b="0"/>
      </a:pPr>
      <a:endParaRPr lang="it-IT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Brexit!$AB$11:$AB$12</c:f>
              <c:strCache>
                <c:ptCount val="1"/>
                <c:pt idx="0">
                  <c:v> Var.% (gen '19/gen '18)</c:v>
                </c:pt>
              </c:strCache>
            </c:strRef>
          </c:tx>
          <c:spPr>
            <a:solidFill>
              <a:srgbClr val="92D050"/>
            </a:solidFill>
            <a:ln w="12700">
              <a:solidFill>
                <a:sysClr val="windowText" lastClr="000000"/>
              </a:solidFill>
            </a:ln>
          </c:spPr>
          <c:invertIfNegative val="0"/>
          <c:dLbls>
            <c:dLbl>
              <c:idx val="1"/>
              <c:layout>
                <c:manualLayout>
                  <c:x val="-1.6666666666666666E-2"/>
                  <c:y val="0.2638888888888887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9444444444444344E-2"/>
                  <c:y val="2.121889068003332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ln w="3175">
                <a:solidFill>
                  <a:sysClr val="windowText" lastClr="000000"/>
                </a:solidFill>
              </a:ln>
            </c:spPr>
            <c:txPr>
              <a:bodyPr/>
              <a:lstStyle/>
              <a:p>
                <a:pPr>
                  <a:defRPr sz="900" b="0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Brexit!$Z$13:$AA$15</c:f>
              <c:multiLvlStrCache>
                <c:ptCount val="3"/>
                <c:lvl>
                  <c:pt idx="0">
                    <c:v>Agroalimentare</c:v>
                  </c:pt>
                  <c:pt idx="1">
                    <c:v>Agricolo</c:v>
                  </c:pt>
                  <c:pt idx="2">
                    <c:v>Alimentare</c:v>
                  </c:pt>
                </c:lvl>
                <c:lvl>
                  <c:pt idx="0">
                    <c:v>IMPORT</c:v>
                  </c:pt>
                </c:lvl>
              </c:multiLvlStrCache>
            </c:multiLvlStrRef>
          </c:cat>
          <c:val>
            <c:numRef>
              <c:f>Brexit!$AB$13:$AB$15</c:f>
              <c:numCache>
                <c:formatCode>0.0%</c:formatCode>
                <c:ptCount val="3"/>
                <c:pt idx="0">
                  <c:v>0.19257121313950765</c:v>
                </c:pt>
                <c:pt idx="1">
                  <c:v>-0.12270263123099301</c:v>
                </c:pt>
                <c:pt idx="2">
                  <c:v>0.23652114080664455</c:v>
                </c:pt>
              </c:numCache>
            </c:numRef>
          </c:val>
        </c:ser>
        <c:ser>
          <c:idx val="1"/>
          <c:order val="1"/>
          <c:tx>
            <c:strRef>
              <c:f>Brexit!$AC$11:$AC$12</c:f>
              <c:strCache>
                <c:ptCount val="1"/>
                <c:pt idx="0">
                  <c:v>Var.% (gen '19/dic '18)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3.653846153846154E-2"/>
                  <c:y val="0.3179017206182560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5726529376135673E-2"/>
                  <c:y val="0.1929017206182560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034191399152029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ln w="3175">
                <a:solidFill>
                  <a:sysClr val="windowText" lastClr="000000"/>
                </a:solidFill>
              </a:ln>
            </c:spPr>
            <c:txPr>
              <a:bodyPr/>
              <a:lstStyle/>
              <a:p>
                <a:pPr>
                  <a:defRPr sz="900" b="0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Brexit!$Z$13:$AA$15</c:f>
              <c:multiLvlStrCache>
                <c:ptCount val="3"/>
                <c:lvl>
                  <c:pt idx="0">
                    <c:v>Agroalimentare</c:v>
                  </c:pt>
                  <c:pt idx="1">
                    <c:v>Agricolo</c:v>
                  </c:pt>
                  <c:pt idx="2">
                    <c:v>Alimentare</c:v>
                  </c:pt>
                </c:lvl>
                <c:lvl>
                  <c:pt idx="0">
                    <c:v>IMPORT</c:v>
                  </c:pt>
                </c:lvl>
              </c:multiLvlStrCache>
            </c:multiLvlStrRef>
          </c:cat>
          <c:val>
            <c:numRef>
              <c:f>Brexit!$AC$13:$AC$15</c:f>
              <c:numCache>
                <c:formatCode>0.00%</c:formatCode>
                <c:ptCount val="3"/>
                <c:pt idx="0">
                  <c:v>-0.17015735214324468</c:v>
                </c:pt>
                <c:pt idx="1">
                  <c:v>-6.6150598170302555E-2</c:v>
                </c:pt>
                <c:pt idx="2">
                  <c:v>0.24068354570842043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69"/>
        <c:axId val="212711296"/>
        <c:axId val="212712832"/>
      </c:barChart>
      <c:catAx>
        <c:axId val="212711296"/>
        <c:scaling>
          <c:orientation val="minMax"/>
        </c:scaling>
        <c:delete val="0"/>
        <c:axPos val="b"/>
        <c:majorTickMark val="none"/>
        <c:minorTickMark val="none"/>
        <c:tickLblPos val="low"/>
        <c:txPr>
          <a:bodyPr/>
          <a:lstStyle/>
          <a:p>
            <a:pPr>
              <a:defRPr sz="900" b="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it-IT"/>
          </a:p>
        </c:txPr>
        <c:crossAx val="212712832"/>
        <c:crosses val="autoZero"/>
        <c:auto val="1"/>
        <c:lblAlgn val="ctr"/>
        <c:lblOffset val="100"/>
        <c:noMultiLvlLbl val="0"/>
      </c:catAx>
      <c:valAx>
        <c:axId val="212712832"/>
        <c:scaling>
          <c:orientation val="minMax"/>
        </c:scaling>
        <c:delete val="1"/>
        <c:axPos val="l"/>
        <c:numFmt formatCode="0.0%" sourceLinked="1"/>
        <c:majorTickMark val="out"/>
        <c:minorTickMark val="none"/>
        <c:tickLblPos val="nextTo"/>
        <c:crossAx val="212711296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1.6841611144760755E-2"/>
          <c:y val="2.1604938271604937E-2"/>
          <c:w val="0.60093185947910355"/>
          <c:h val="0.13927286866919414"/>
        </c:manualLayout>
      </c:layout>
      <c:overlay val="0"/>
      <c:spPr>
        <a:ln w="12700">
          <a:solidFill>
            <a:sysClr val="windowText" lastClr="000000"/>
          </a:solidFill>
        </a:ln>
      </c:spPr>
      <c:txPr>
        <a:bodyPr/>
        <a:lstStyle/>
        <a:p>
          <a:pPr>
            <a:defRPr sz="900" b="1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BE982-C3D5-4CF0-96FC-B8F503F3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Barbetta</dc:creator>
  <cp:lastModifiedBy>Marco Barbetta</cp:lastModifiedBy>
  <cp:revision>4</cp:revision>
  <cp:lastPrinted>2018-11-26T11:20:00Z</cp:lastPrinted>
  <dcterms:created xsi:type="dcterms:W3CDTF">2019-03-20T15:30:00Z</dcterms:created>
  <dcterms:modified xsi:type="dcterms:W3CDTF">2019-03-20T15:34:00Z</dcterms:modified>
</cp:coreProperties>
</file>