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63E55" w14:textId="77777777" w:rsidR="0092215C" w:rsidRDefault="0092215C" w:rsidP="0092215C">
      <w:pPr>
        <w:pBdr>
          <w:top w:val="single" w:sz="12" w:space="1" w:color="00B050"/>
          <w:left w:val="single" w:sz="12" w:space="4" w:color="00B050"/>
          <w:bottom w:val="single" w:sz="12" w:space="1" w:color="00B050"/>
          <w:right w:val="single" w:sz="12" w:space="4" w:color="00B050"/>
        </w:pBdr>
        <w:jc w:val="center"/>
        <w:rPr>
          <w:b/>
          <w:color w:val="00B050"/>
          <w:sz w:val="36"/>
          <w:szCs w:val="36"/>
        </w:rPr>
      </w:pPr>
    </w:p>
    <w:p w14:paraId="00320A24" w14:textId="77777777" w:rsidR="0092215C" w:rsidRDefault="0092215C" w:rsidP="0092215C">
      <w:pPr>
        <w:pBdr>
          <w:top w:val="single" w:sz="12" w:space="1" w:color="00B050"/>
          <w:left w:val="single" w:sz="12" w:space="4" w:color="00B050"/>
          <w:bottom w:val="single" w:sz="12" w:space="1" w:color="00B050"/>
          <w:right w:val="single" w:sz="12" w:space="4" w:color="00B050"/>
        </w:pBdr>
        <w:jc w:val="center"/>
        <w:rPr>
          <w:b/>
          <w:color w:val="00B050"/>
          <w:sz w:val="36"/>
          <w:szCs w:val="36"/>
        </w:rPr>
      </w:pPr>
      <w:r>
        <w:rPr>
          <w:rFonts w:eastAsia="Times New Roman"/>
          <w:noProof/>
          <w:lang w:eastAsia="it-IT"/>
        </w:rPr>
        <w:drawing>
          <wp:inline distT="0" distB="0" distL="0" distR="0" wp14:anchorId="6D0446E2" wp14:editId="58203B12">
            <wp:extent cx="2206507" cy="1521303"/>
            <wp:effectExtent l="0" t="0" r="3810" b="3175"/>
            <wp:docPr id="2" name="Immagine 2" descr="cid:87389F3D-4926-4550-A65E-DAF73CD7836E@cia-italia.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CD5962-687E-409F-A0D5-DA8AF58BDE9B" descr="cid:87389F3D-4926-4550-A65E-DAF73CD7836E@cia-italia.loca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220640" cy="1531047"/>
                    </a:xfrm>
                    <a:prstGeom prst="rect">
                      <a:avLst/>
                    </a:prstGeom>
                    <a:noFill/>
                    <a:ln>
                      <a:noFill/>
                    </a:ln>
                  </pic:spPr>
                </pic:pic>
              </a:graphicData>
            </a:graphic>
          </wp:inline>
        </w:drawing>
      </w:r>
    </w:p>
    <w:p w14:paraId="1ABBB097" w14:textId="77777777" w:rsidR="0092215C" w:rsidRDefault="0092215C" w:rsidP="0092215C">
      <w:pPr>
        <w:pBdr>
          <w:top w:val="single" w:sz="12" w:space="1" w:color="00B050"/>
          <w:left w:val="single" w:sz="12" w:space="4" w:color="00B050"/>
          <w:bottom w:val="single" w:sz="12" w:space="1" w:color="00B050"/>
          <w:right w:val="single" w:sz="12" w:space="4" w:color="00B050"/>
        </w:pBdr>
        <w:jc w:val="center"/>
        <w:rPr>
          <w:b/>
          <w:color w:val="00B050"/>
          <w:sz w:val="36"/>
          <w:szCs w:val="36"/>
        </w:rPr>
      </w:pPr>
    </w:p>
    <w:p w14:paraId="2D725C76" w14:textId="77777777" w:rsidR="0092215C" w:rsidRPr="0092215C" w:rsidRDefault="0092215C" w:rsidP="0092215C">
      <w:pPr>
        <w:pBdr>
          <w:top w:val="single" w:sz="12" w:space="1" w:color="00B050"/>
          <w:left w:val="single" w:sz="12" w:space="4" w:color="00B050"/>
          <w:bottom w:val="single" w:sz="12" w:space="1" w:color="00B050"/>
          <w:right w:val="single" w:sz="12" w:space="4" w:color="00B050"/>
        </w:pBdr>
        <w:jc w:val="center"/>
        <w:rPr>
          <w:rFonts w:ascii="Tahoma" w:hAnsi="Tahoma" w:cs="Tahoma"/>
          <w:b/>
          <w:i/>
          <w:color w:val="00B050"/>
          <w:sz w:val="52"/>
          <w:szCs w:val="52"/>
        </w:rPr>
      </w:pPr>
      <w:r w:rsidRPr="0092215C">
        <w:rPr>
          <w:rFonts w:ascii="Tahoma" w:hAnsi="Tahoma" w:cs="Tahoma"/>
          <w:b/>
          <w:i/>
          <w:color w:val="00B050"/>
          <w:sz w:val="52"/>
          <w:szCs w:val="52"/>
        </w:rPr>
        <w:t>MANOVRA DI BILANCIO 2020</w:t>
      </w:r>
    </w:p>
    <w:p w14:paraId="1751E74C" w14:textId="77777777" w:rsidR="0092215C" w:rsidRDefault="0092215C" w:rsidP="0092215C">
      <w:pPr>
        <w:pBdr>
          <w:top w:val="single" w:sz="12" w:space="1" w:color="00B050"/>
          <w:left w:val="single" w:sz="12" w:space="4" w:color="00B050"/>
          <w:bottom w:val="single" w:sz="12" w:space="1" w:color="00B050"/>
          <w:right w:val="single" w:sz="12" w:space="4" w:color="00B050"/>
        </w:pBdr>
        <w:jc w:val="center"/>
        <w:rPr>
          <w:rFonts w:ascii="Tahoma" w:hAnsi="Tahoma" w:cs="Tahoma"/>
          <w:b/>
          <w:color w:val="00B050"/>
          <w:sz w:val="52"/>
          <w:szCs w:val="52"/>
        </w:rPr>
      </w:pPr>
    </w:p>
    <w:p w14:paraId="3C230C93" w14:textId="77777777" w:rsidR="0092215C" w:rsidRPr="0092215C" w:rsidRDefault="0092215C" w:rsidP="0092215C">
      <w:pPr>
        <w:pBdr>
          <w:top w:val="single" w:sz="12" w:space="1" w:color="00B050"/>
          <w:left w:val="single" w:sz="12" w:space="4" w:color="00B050"/>
          <w:bottom w:val="single" w:sz="12" w:space="1" w:color="00B050"/>
          <w:right w:val="single" w:sz="12" w:space="4" w:color="00B050"/>
        </w:pBdr>
        <w:jc w:val="center"/>
        <w:rPr>
          <w:rFonts w:ascii="Tahoma" w:hAnsi="Tahoma" w:cs="Tahoma"/>
          <w:b/>
          <w:color w:val="00B050"/>
          <w:sz w:val="52"/>
          <w:szCs w:val="52"/>
        </w:rPr>
      </w:pPr>
      <w:r w:rsidRPr="0092215C">
        <w:rPr>
          <w:rFonts w:ascii="Tahoma" w:hAnsi="Tahoma" w:cs="Tahoma"/>
          <w:b/>
          <w:color w:val="00B050"/>
          <w:sz w:val="52"/>
          <w:szCs w:val="52"/>
        </w:rPr>
        <w:t>PROPOSTE</w:t>
      </w:r>
    </w:p>
    <w:p w14:paraId="27A6458F" w14:textId="77777777" w:rsidR="0092215C" w:rsidRPr="0092215C" w:rsidRDefault="0092215C" w:rsidP="0092215C">
      <w:pPr>
        <w:pBdr>
          <w:top w:val="single" w:sz="12" w:space="1" w:color="00B050"/>
          <w:left w:val="single" w:sz="12" w:space="4" w:color="00B050"/>
          <w:bottom w:val="single" w:sz="12" w:space="1" w:color="00B050"/>
          <w:right w:val="single" w:sz="12" w:space="4" w:color="00B050"/>
        </w:pBdr>
        <w:jc w:val="center"/>
        <w:rPr>
          <w:rFonts w:ascii="Tahoma" w:hAnsi="Tahoma" w:cs="Tahoma"/>
          <w:b/>
          <w:color w:val="00B050"/>
          <w:sz w:val="52"/>
          <w:szCs w:val="52"/>
        </w:rPr>
      </w:pPr>
      <w:r w:rsidRPr="0092215C">
        <w:rPr>
          <w:rFonts w:ascii="Tahoma" w:hAnsi="Tahoma" w:cs="Tahoma"/>
          <w:b/>
          <w:color w:val="00B050"/>
          <w:sz w:val="52"/>
          <w:szCs w:val="52"/>
        </w:rPr>
        <w:t>RISULTATI</w:t>
      </w:r>
    </w:p>
    <w:p w14:paraId="30C756D7" w14:textId="77777777" w:rsidR="0092215C" w:rsidRDefault="0092215C" w:rsidP="0092215C">
      <w:pPr>
        <w:pBdr>
          <w:top w:val="single" w:sz="12" w:space="1" w:color="00B050"/>
          <w:left w:val="single" w:sz="12" w:space="4" w:color="00B050"/>
          <w:bottom w:val="single" w:sz="12" w:space="1" w:color="00B050"/>
          <w:right w:val="single" w:sz="12" w:space="4" w:color="00B050"/>
        </w:pBdr>
        <w:jc w:val="center"/>
        <w:rPr>
          <w:rFonts w:ascii="Tahoma" w:hAnsi="Tahoma" w:cs="Tahoma"/>
          <w:b/>
          <w:color w:val="00B050"/>
          <w:sz w:val="52"/>
          <w:szCs w:val="52"/>
        </w:rPr>
      </w:pPr>
      <w:r w:rsidRPr="0092215C">
        <w:rPr>
          <w:rFonts w:ascii="Tahoma" w:hAnsi="Tahoma" w:cs="Tahoma"/>
          <w:b/>
          <w:color w:val="00B050"/>
          <w:sz w:val="52"/>
          <w:szCs w:val="52"/>
        </w:rPr>
        <w:t>QUESTIONI APERTE</w:t>
      </w:r>
    </w:p>
    <w:p w14:paraId="6A5B526A" w14:textId="77777777" w:rsidR="0092215C" w:rsidRDefault="0092215C" w:rsidP="0092215C">
      <w:pPr>
        <w:pBdr>
          <w:top w:val="single" w:sz="12" w:space="1" w:color="00B050"/>
          <w:left w:val="single" w:sz="12" w:space="4" w:color="00B050"/>
          <w:bottom w:val="single" w:sz="12" w:space="1" w:color="00B050"/>
          <w:right w:val="single" w:sz="12" w:space="4" w:color="00B050"/>
        </w:pBdr>
        <w:jc w:val="center"/>
        <w:rPr>
          <w:rFonts w:ascii="Tahoma" w:hAnsi="Tahoma" w:cs="Tahoma"/>
          <w:b/>
          <w:color w:val="00B050"/>
          <w:sz w:val="52"/>
          <w:szCs w:val="52"/>
        </w:rPr>
      </w:pPr>
    </w:p>
    <w:p w14:paraId="4C75A451" w14:textId="77777777" w:rsidR="0092215C" w:rsidRDefault="0092215C" w:rsidP="0092215C">
      <w:pPr>
        <w:pBdr>
          <w:top w:val="single" w:sz="12" w:space="1" w:color="00B050"/>
          <w:left w:val="single" w:sz="12" w:space="4" w:color="00B050"/>
          <w:bottom w:val="single" w:sz="12" w:space="1" w:color="00B050"/>
          <w:right w:val="single" w:sz="12" w:space="4" w:color="00B050"/>
        </w:pBdr>
        <w:jc w:val="center"/>
        <w:rPr>
          <w:rFonts w:ascii="Tahoma" w:hAnsi="Tahoma" w:cs="Tahoma"/>
          <w:b/>
          <w:color w:val="00B050"/>
          <w:sz w:val="52"/>
          <w:szCs w:val="52"/>
        </w:rPr>
      </w:pPr>
    </w:p>
    <w:p w14:paraId="582DA246" w14:textId="77777777" w:rsidR="0092215C" w:rsidRPr="0092215C" w:rsidRDefault="0092215C" w:rsidP="0092215C">
      <w:pPr>
        <w:pBdr>
          <w:top w:val="single" w:sz="12" w:space="1" w:color="00B050"/>
          <w:left w:val="single" w:sz="12" w:space="4" w:color="00B050"/>
          <w:bottom w:val="single" w:sz="12" w:space="1" w:color="00B050"/>
          <w:right w:val="single" w:sz="12" w:space="4" w:color="00B050"/>
        </w:pBdr>
        <w:jc w:val="center"/>
        <w:rPr>
          <w:rFonts w:ascii="Tahoma" w:hAnsi="Tahoma" w:cs="Tahoma"/>
          <w:b/>
          <w:color w:val="00B050"/>
          <w:sz w:val="52"/>
          <w:szCs w:val="52"/>
        </w:rPr>
      </w:pPr>
    </w:p>
    <w:p w14:paraId="69B73204" w14:textId="77777777" w:rsidR="0092215C" w:rsidRDefault="0092215C" w:rsidP="0092215C">
      <w:pPr>
        <w:pBdr>
          <w:top w:val="single" w:sz="12" w:space="1" w:color="00B050"/>
          <w:left w:val="single" w:sz="12" w:space="4" w:color="00B050"/>
          <w:bottom w:val="single" w:sz="12" w:space="1" w:color="00B050"/>
          <w:right w:val="single" w:sz="12" w:space="4" w:color="00B050"/>
        </w:pBdr>
        <w:jc w:val="center"/>
        <w:rPr>
          <w:b/>
          <w:color w:val="00B050"/>
          <w:sz w:val="36"/>
          <w:szCs w:val="36"/>
        </w:rPr>
      </w:pPr>
    </w:p>
    <w:p w14:paraId="3406B472" w14:textId="77777777" w:rsidR="0092215C" w:rsidRDefault="0092215C">
      <w:pPr>
        <w:rPr>
          <w:b/>
          <w:color w:val="00B050"/>
          <w:sz w:val="36"/>
          <w:szCs w:val="36"/>
        </w:rPr>
      </w:pPr>
    </w:p>
    <w:p w14:paraId="00454FF6" w14:textId="77777777" w:rsidR="0092215C" w:rsidRDefault="0092215C" w:rsidP="0092215C">
      <w:pPr>
        <w:spacing w:after="0"/>
        <w:jc w:val="center"/>
        <w:rPr>
          <w:b/>
          <w:color w:val="00B050"/>
          <w:sz w:val="36"/>
          <w:szCs w:val="36"/>
        </w:rPr>
      </w:pPr>
    </w:p>
    <w:p w14:paraId="7E193BF9" w14:textId="77777777" w:rsidR="001365A0" w:rsidRDefault="00DE7DBE" w:rsidP="0092215C">
      <w:pPr>
        <w:pBdr>
          <w:top w:val="single" w:sz="12" w:space="1" w:color="00B050"/>
          <w:left w:val="single" w:sz="12" w:space="4" w:color="00B050"/>
          <w:bottom w:val="single" w:sz="12" w:space="1" w:color="00B050"/>
          <w:right w:val="single" w:sz="12" w:space="4" w:color="00B050"/>
        </w:pBdr>
        <w:spacing w:after="0"/>
        <w:jc w:val="center"/>
        <w:rPr>
          <w:b/>
          <w:color w:val="00B050"/>
          <w:sz w:val="36"/>
          <w:szCs w:val="36"/>
        </w:rPr>
      </w:pPr>
      <w:r w:rsidRPr="00DE7DBE">
        <w:rPr>
          <w:b/>
          <w:color w:val="00B050"/>
          <w:sz w:val="36"/>
          <w:szCs w:val="36"/>
        </w:rPr>
        <w:lastRenderedPageBreak/>
        <w:t xml:space="preserve">PRINCIPALI PROPOSTE </w:t>
      </w:r>
      <w:r w:rsidR="001365A0" w:rsidRPr="00DE7DBE">
        <w:rPr>
          <w:b/>
          <w:color w:val="00B050"/>
          <w:sz w:val="36"/>
          <w:szCs w:val="36"/>
        </w:rPr>
        <w:t>CIA AGRICOLTORI ITALIANI</w:t>
      </w:r>
    </w:p>
    <w:p w14:paraId="291EB4B9" w14:textId="77777777" w:rsidR="001365A0" w:rsidRDefault="001365A0" w:rsidP="001365A0"/>
    <w:p w14:paraId="1A07E969" w14:textId="03BCB831" w:rsidR="00104FF6" w:rsidRPr="0092215C" w:rsidRDefault="0092215C" w:rsidP="00130BD0">
      <w:pPr>
        <w:spacing w:line="240" w:lineRule="auto"/>
        <w:jc w:val="both"/>
        <w:rPr>
          <w:rFonts w:ascii="Arial" w:hAnsi="Arial" w:cs="Arial"/>
          <w:color w:val="000000"/>
          <w:sz w:val="24"/>
          <w:szCs w:val="24"/>
          <w:shd w:val="clear" w:color="auto" w:fill="FFFFFF"/>
        </w:rPr>
      </w:pPr>
      <w:r w:rsidRPr="0092215C">
        <w:rPr>
          <w:rFonts w:ascii="Arial" w:hAnsi="Arial" w:cs="Arial"/>
          <w:color w:val="000000"/>
          <w:sz w:val="24"/>
          <w:szCs w:val="24"/>
          <w:shd w:val="clear" w:color="auto" w:fill="FFFFFF"/>
        </w:rPr>
        <w:t xml:space="preserve">A inizio autunno, in vista </w:t>
      </w:r>
      <w:r w:rsidR="00C42B78">
        <w:rPr>
          <w:rFonts w:ascii="Arial" w:hAnsi="Arial" w:cs="Arial"/>
          <w:color w:val="000000"/>
          <w:sz w:val="24"/>
          <w:szCs w:val="24"/>
          <w:shd w:val="clear" w:color="auto" w:fill="FFFFFF"/>
        </w:rPr>
        <w:t xml:space="preserve">dell’approvazione in </w:t>
      </w:r>
      <w:proofErr w:type="gramStart"/>
      <w:r w:rsidR="00C42B78">
        <w:rPr>
          <w:rFonts w:ascii="Arial" w:hAnsi="Arial" w:cs="Arial"/>
          <w:color w:val="000000"/>
          <w:sz w:val="24"/>
          <w:szCs w:val="24"/>
          <w:shd w:val="clear" w:color="auto" w:fill="FFFFFF"/>
        </w:rPr>
        <w:t>Consiglio dei Ministri</w:t>
      </w:r>
      <w:proofErr w:type="gramEnd"/>
      <w:r w:rsidR="00C42B78">
        <w:rPr>
          <w:rFonts w:ascii="Arial" w:hAnsi="Arial" w:cs="Arial"/>
          <w:color w:val="000000"/>
          <w:sz w:val="24"/>
          <w:szCs w:val="24"/>
          <w:shd w:val="clear" w:color="auto" w:fill="FFFFFF"/>
        </w:rPr>
        <w:t xml:space="preserve"> della</w:t>
      </w:r>
      <w:r w:rsidRPr="0092215C">
        <w:rPr>
          <w:rFonts w:ascii="Arial" w:hAnsi="Arial" w:cs="Arial"/>
          <w:color w:val="000000"/>
          <w:sz w:val="24"/>
          <w:szCs w:val="24"/>
          <w:shd w:val="clear" w:color="auto" w:fill="FFFFFF"/>
        </w:rPr>
        <w:t xml:space="preserve"> Manovra di bilancio 2020, la CIA-Agricoltori </w:t>
      </w:r>
      <w:r w:rsidR="00C6303B">
        <w:rPr>
          <w:rFonts w:ascii="Arial" w:hAnsi="Arial" w:cs="Arial"/>
          <w:color w:val="000000"/>
          <w:sz w:val="24"/>
          <w:szCs w:val="24"/>
          <w:shd w:val="clear" w:color="auto" w:fill="FFFFFF"/>
        </w:rPr>
        <w:t>i</w:t>
      </w:r>
      <w:r w:rsidRPr="0092215C">
        <w:rPr>
          <w:rFonts w:ascii="Arial" w:hAnsi="Arial" w:cs="Arial"/>
          <w:color w:val="000000"/>
          <w:sz w:val="24"/>
          <w:szCs w:val="24"/>
          <w:shd w:val="clear" w:color="auto" w:fill="FFFFFF"/>
        </w:rPr>
        <w:t xml:space="preserve">taliani ha </w:t>
      </w:r>
      <w:r w:rsidR="00104FF6">
        <w:rPr>
          <w:rFonts w:ascii="Arial" w:hAnsi="Arial" w:cs="Arial"/>
          <w:color w:val="000000"/>
          <w:sz w:val="24"/>
          <w:szCs w:val="24"/>
          <w:shd w:val="clear" w:color="auto" w:fill="FFFFFF"/>
        </w:rPr>
        <w:t>definito</w:t>
      </w:r>
      <w:r w:rsidRPr="0092215C">
        <w:rPr>
          <w:rFonts w:ascii="Arial" w:hAnsi="Arial" w:cs="Arial"/>
          <w:color w:val="000000"/>
          <w:sz w:val="24"/>
          <w:szCs w:val="24"/>
          <w:shd w:val="clear" w:color="auto" w:fill="FFFFFF"/>
        </w:rPr>
        <w:t xml:space="preserve"> un “pacchetto” di proposte per il sostegno e la valorizzazione del sistema agricolo nazionale. </w:t>
      </w:r>
      <w:r w:rsidR="00104FF6">
        <w:rPr>
          <w:rFonts w:ascii="Arial" w:hAnsi="Arial" w:cs="Arial"/>
          <w:color w:val="000000"/>
          <w:sz w:val="24"/>
          <w:szCs w:val="24"/>
          <w:shd w:val="clear" w:color="auto" w:fill="FFFFFF"/>
        </w:rPr>
        <w:t>Di seguito si riportano le principali misure, suddivise per ambito d’intervento</w:t>
      </w:r>
      <w:r w:rsidR="00C6303B">
        <w:rPr>
          <w:rFonts w:ascii="Arial" w:hAnsi="Arial" w:cs="Arial"/>
          <w:color w:val="000000"/>
          <w:sz w:val="24"/>
          <w:szCs w:val="24"/>
          <w:shd w:val="clear" w:color="auto" w:fill="FFFFFF"/>
        </w:rPr>
        <w:t>.</w:t>
      </w:r>
    </w:p>
    <w:p w14:paraId="3C923092" w14:textId="77777777" w:rsidR="00DE7DBE" w:rsidRDefault="00DE7DBE" w:rsidP="00130BD0">
      <w:pPr>
        <w:spacing w:after="120" w:line="240" w:lineRule="auto"/>
        <w:jc w:val="both"/>
        <w:rPr>
          <w:rFonts w:ascii="Arial" w:hAnsi="Arial" w:cs="Arial"/>
          <w:sz w:val="24"/>
          <w:szCs w:val="24"/>
        </w:rPr>
      </w:pPr>
      <w:r>
        <w:rPr>
          <w:rFonts w:ascii="Arial" w:hAnsi="Arial" w:cs="Arial"/>
          <w:b/>
          <w:i/>
          <w:color w:val="00B050"/>
          <w:sz w:val="28"/>
          <w:szCs w:val="28"/>
        </w:rPr>
        <w:t xml:space="preserve">Innovazione </w:t>
      </w:r>
      <w:r w:rsidR="00C95826" w:rsidRPr="00DE7DBE">
        <w:rPr>
          <w:rFonts w:ascii="Arial" w:hAnsi="Arial" w:cs="Arial"/>
          <w:b/>
          <w:i/>
          <w:color w:val="00B050"/>
          <w:sz w:val="28"/>
          <w:szCs w:val="28"/>
        </w:rPr>
        <w:t>e agricoltura</w:t>
      </w:r>
    </w:p>
    <w:p w14:paraId="4F5E1932" w14:textId="627E8B63" w:rsidR="00A64039" w:rsidRDefault="00A64039" w:rsidP="00130BD0">
      <w:pPr>
        <w:spacing w:after="120" w:line="240" w:lineRule="auto"/>
        <w:jc w:val="both"/>
        <w:rPr>
          <w:rFonts w:ascii="Arial" w:hAnsi="Arial" w:cs="Arial"/>
          <w:sz w:val="24"/>
          <w:szCs w:val="24"/>
        </w:rPr>
      </w:pPr>
      <w:r w:rsidRPr="00A90AD9">
        <w:rPr>
          <w:rFonts w:ascii="Arial" w:hAnsi="Arial" w:cs="Arial"/>
          <w:color w:val="000000"/>
          <w:sz w:val="24"/>
          <w:szCs w:val="24"/>
          <w:shd w:val="clear" w:color="auto" w:fill="FFFFFF"/>
        </w:rPr>
        <w:t>La stragrande maggioranza delle imprese agricole</w:t>
      </w:r>
      <w:r>
        <w:rPr>
          <w:rFonts w:ascii="Arial" w:hAnsi="Arial" w:cs="Arial"/>
          <w:color w:val="000000"/>
          <w:sz w:val="24"/>
          <w:szCs w:val="24"/>
          <w:shd w:val="clear" w:color="auto" w:fill="FFFFFF"/>
        </w:rPr>
        <w:t>,</w:t>
      </w:r>
      <w:r w:rsidRPr="00A90AD9">
        <w:rPr>
          <w:rFonts w:ascii="Arial" w:hAnsi="Arial" w:cs="Arial"/>
          <w:color w:val="000000"/>
          <w:sz w:val="24"/>
          <w:szCs w:val="24"/>
          <w:shd w:val="clear" w:color="auto" w:fill="FFFFFF"/>
        </w:rPr>
        <w:t xml:space="preserve"> soggette a tassazione in base alle regole catastali</w:t>
      </w:r>
      <w:r>
        <w:rPr>
          <w:rFonts w:ascii="Arial" w:hAnsi="Arial" w:cs="Arial"/>
          <w:color w:val="000000"/>
          <w:sz w:val="24"/>
          <w:szCs w:val="24"/>
          <w:shd w:val="clear" w:color="auto" w:fill="FFFFFF"/>
        </w:rPr>
        <w:t>,</w:t>
      </w:r>
      <w:r w:rsidRPr="00A90AD9">
        <w:rPr>
          <w:rFonts w:ascii="Arial" w:hAnsi="Arial" w:cs="Arial"/>
          <w:color w:val="000000"/>
          <w:sz w:val="24"/>
          <w:szCs w:val="24"/>
          <w:shd w:val="clear" w:color="auto" w:fill="FFFFFF"/>
        </w:rPr>
        <w:t xml:space="preserve"> non può avere accesso alle disposizioni sul </w:t>
      </w:r>
      <w:r w:rsidRPr="00A90AD9">
        <w:rPr>
          <w:rFonts w:ascii="Arial" w:hAnsi="Arial" w:cs="Arial"/>
          <w:i/>
          <w:color w:val="000000"/>
          <w:sz w:val="24"/>
          <w:szCs w:val="24"/>
          <w:shd w:val="clear" w:color="auto" w:fill="FFFFFF"/>
        </w:rPr>
        <w:t xml:space="preserve">super e </w:t>
      </w:r>
      <w:proofErr w:type="gramStart"/>
      <w:r w:rsidRPr="00A90AD9">
        <w:rPr>
          <w:rFonts w:ascii="Arial" w:hAnsi="Arial" w:cs="Arial"/>
          <w:i/>
          <w:color w:val="000000"/>
          <w:sz w:val="24"/>
          <w:szCs w:val="24"/>
          <w:shd w:val="clear" w:color="auto" w:fill="FFFFFF"/>
        </w:rPr>
        <w:t>iper</w:t>
      </w:r>
      <w:r w:rsidRPr="00A90AD9">
        <w:rPr>
          <w:rFonts w:ascii="Arial" w:hAnsi="Arial" w:cs="Arial"/>
          <w:color w:val="000000"/>
          <w:sz w:val="24"/>
          <w:szCs w:val="24"/>
          <w:shd w:val="clear" w:color="auto" w:fill="FFFFFF"/>
        </w:rPr>
        <w:t xml:space="preserve"> ammortamento</w:t>
      </w:r>
      <w:proofErr w:type="gramEnd"/>
      <w:r w:rsidR="0092215C">
        <w:rPr>
          <w:rFonts w:ascii="Arial" w:hAnsi="Arial" w:cs="Arial"/>
          <w:color w:val="000000"/>
          <w:sz w:val="24"/>
          <w:szCs w:val="24"/>
          <w:shd w:val="clear" w:color="auto" w:fill="FFFFFF"/>
        </w:rPr>
        <w:t xml:space="preserve"> (</w:t>
      </w:r>
      <w:r w:rsidR="0092215C" w:rsidRPr="00130BD0">
        <w:rPr>
          <w:rFonts w:ascii="Arial" w:hAnsi="Arial" w:cs="Arial"/>
          <w:color w:val="000000"/>
          <w:sz w:val="24"/>
          <w:szCs w:val="24"/>
          <w:u w:val="single"/>
          <w:shd w:val="clear" w:color="auto" w:fill="FFFFFF"/>
        </w:rPr>
        <w:t>Industria 4.0</w:t>
      </w:r>
      <w:r w:rsidR="0092215C">
        <w:rPr>
          <w:rFonts w:ascii="Arial" w:hAnsi="Arial" w:cs="Arial"/>
          <w:color w:val="000000"/>
          <w:sz w:val="24"/>
          <w:szCs w:val="24"/>
          <w:shd w:val="clear" w:color="auto" w:fill="FFFFFF"/>
        </w:rPr>
        <w:t>)</w:t>
      </w:r>
      <w:r w:rsidRPr="00A90AD9">
        <w:rPr>
          <w:rFonts w:ascii="Arial" w:hAnsi="Arial" w:cs="Arial"/>
          <w:color w:val="000000"/>
          <w:sz w:val="24"/>
          <w:szCs w:val="24"/>
          <w:shd w:val="clear" w:color="auto" w:fill="FFFFFF"/>
        </w:rPr>
        <w:t xml:space="preserve"> per l’acquisto dei beni strumentali materiali nuovi, considerato il sistema di determinazione del reddito che non prevede la rilevanza dei costi e dei ricavi effettivi. </w:t>
      </w:r>
      <w:r>
        <w:rPr>
          <w:rFonts w:ascii="Arial" w:hAnsi="Arial" w:cs="Arial"/>
          <w:color w:val="000000"/>
          <w:sz w:val="24"/>
          <w:szCs w:val="24"/>
          <w:shd w:val="clear" w:color="auto" w:fill="FFFFFF"/>
        </w:rPr>
        <w:t>Ciò finisce per creare un vincolo allo sviluppo competitivo della filiera agroalimentare non solo sul fronte delle imprese agricole</w:t>
      </w:r>
      <w:r w:rsidR="00C6303B">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ma in un’ottica di sistema complessivo. </w:t>
      </w:r>
      <w:r w:rsidRPr="00A90AD9">
        <w:rPr>
          <w:rFonts w:ascii="Arial" w:hAnsi="Arial" w:cs="Arial"/>
          <w:color w:val="000000"/>
          <w:sz w:val="24"/>
          <w:szCs w:val="24"/>
          <w:shd w:val="clear" w:color="auto" w:fill="FFFFFF"/>
        </w:rPr>
        <w:t>Al fine di superare tale limitazione e per consentire agli imprenditori agricoli di sfruttare anche le opportunità offerte dagli incentivi per gli investimenti</w:t>
      </w:r>
      <w:r w:rsidR="00C6303B">
        <w:rPr>
          <w:rFonts w:ascii="Arial" w:hAnsi="Arial" w:cs="Arial"/>
          <w:color w:val="000000"/>
          <w:sz w:val="24"/>
          <w:szCs w:val="24"/>
          <w:shd w:val="clear" w:color="auto" w:fill="FFFFFF"/>
        </w:rPr>
        <w:t>,</w:t>
      </w:r>
      <w:r w:rsidRPr="00A90AD9">
        <w:rPr>
          <w:rFonts w:ascii="Arial" w:hAnsi="Arial" w:cs="Arial"/>
          <w:color w:val="000000"/>
          <w:sz w:val="24"/>
          <w:szCs w:val="24"/>
          <w:shd w:val="clear" w:color="auto" w:fill="FFFFFF"/>
        </w:rPr>
        <w:t xml:space="preserve"> si ipotizza di tradurre il vantaggio dell’</w:t>
      </w:r>
      <w:r w:rsidRPr="00F64528">
        <w:rPr>
          <w:rFonts w:ascii="Arial" w:hAnsi="Arial" w:cs="Arial"/>
          <w:i/>
          <w:color w:val="000000"/>
          <w:sz w:val="24"/>
          <w:szCs w:val="24"/>
          <w:shd w:val="clear" w:color="auto" w:fill="FFFFFF"/>
        </w:rPr>
        <w:t>iper</w:t>
      </w:r>
      <w:r w:rsidRPr="00A90AD9">
        <w:rPr>
          <w:rFonts w:ascii="Arial" w:hAnsi="Arial" w:cs="Arial"/>
          <w:color w:val="000000"/>
          <w:sz w:val="24"/>
          <w:szCs w:val="24"/>
          <w:shd w:val="clear" w:color="auto" w:fill="FFFFFF"/>
        </w:rPr>
        <w:t xml:space="preserve"> e del </w:t>
      </w:r>
      <w:r w:rsidRPr="00F64528">
        <w:rPr>
          <w:rFonts w:ascii="Arial" w:hAnsi="Arial" w:cs="Arial"/>
          <w:i/>
          <w:color w:val="000000"/>
          <w:sz w:val="24"/>
          <w:szCs w:val="24"/>
          <w:shd w:val="clear" w:color="auto" w:fill="FFFFFF"/>
        </w:rPr>
        <w:t>super</w:t>
      </w:r>
      <w:r w:rsidRPr="00A90AD9">
        <w:rPr>
          <w:rFonts w:ascii="Arial" w:hAnsi="Arial" w:cs="Arial"/>
          <w:color w:val="000000"/>
          <w:sz w:val="24"/>
          <w:szCs w:val="24"/>
          <w:shd w:val="clear" w:color="auto" w:fill="FFFFFF"/>
        </w:rPr>
        <w:t xml:space="preserve"> ammortamento</w:t>
      </w:r>
      <w:r>
        <w:rPr>
          <w:rFonts w:ascii="Arial" w:hAnsi="Arial" w:cs="Arial"/>
          <w:color w:val="000000"/>
          <w:sz w:val="24"/>
          <w:szCs w:val="24"/>
          <w:shd w:val="clear" w:color="auto" w:fill="FFFFFF"/>
        </w:rPr>
        <w:t xml:space="preserve"> </w:t>
      </w:r>
      <w:r w:rsidRPr="00A90AD9">
        <w:rPr>
          <w:rFonts w:ascii="Arial" w:hAnsi="Arial" w:cs="Arial"/>
          <w:color w:val="000000"/>
          <w:sz w:val="24"/>
          <w:szCs w:val="24"/>
          <w:shd w:val="clear" w:color="auto" w:fill="FFFFFF"/>
        </w:rPr>
        <w:t xml:space="preserve">dell’investimento in un equivalente credito d’imposta per le aziende agricole. </w:t>
      </w:r>
    </w:p>
    <w:p w14:paraId="67F969EE" w14:textId="77777777" w:rsidR="00104FF6" w:rsidRDefault="00104FF6" w:rsidP="00130BD0">
      <w:pPr>
        <w:spacing w:after="120" w:line="240" w:lineRule="auto"/>
        <w:rPr>
          <w:rFonts w:ascii="Arial" w:hAnsi="Arial" w:cs="Arial"/>
          <w:b/>
          <w:sz w:val="24"/>
          <w:szCs w:val="24"/>
        </w:rPr>
      </w:pPr>
      <w:r w:rsidRPr="00DE7DBE">
        <w:rPr>
          <w:rFonts w:ascii="Arial" w:hAnsi="Arial" w:cs="Arial"/>
          <w:b/>
          <w:i/>
          <w:color w:val="00B050"/>
          <w:sz w:val="28"/>
          <w:szCs w:val="28"/>
        </w:rPr>
        <w:t>Manutenzione ambientale e paesaggistica aree interne</w:t>
      </w:r>
    </w:p>
    <w:p w14:paraId="6661B656" w14:textId="3757AC19" w:rsidR="00104FF6" w:rsidRDefault="00104FF6" w:rsidP="00130BD0">
      <w:pPr>
        <w:spacing w:after="120" w:line="240" w:lineRule="auto"/>
        <w:jc w:val="both"/>
        <w:rPr>
          <w:rFonts w:ascii="Arial" w:hAnsi="Arial" w:cs="Arial"/>
          <w:sz w:val="24"/>
          <w:szCs w:val="24"/>
        </w:rPr>
      </w:pPr>
      <w:r w:rsidRPr="00B77E9E">
        <w:rPr>
          <w:rFonts w:ascii="Arial" w:hAnsi="Arial" w:cs="Arial"/>
          <w:sz w:val="24"/>
          <w:szCs w:val="24"/>
        </w:rPr>
        <w:t>I territori italiani sono particolarmente esposti ai fenomeni del dissesto (erosione, frane e alluvioni). Si stima che l’</w:t>
      </w:r>
      <w:r w:rsidR="00C6303B">
        <w:rPr>
          <w:rFonts w:ascii="Arial" w:hAnsi="Arial" w:cs="Arial"/>
          <w:sz w:val="24"/>
          <w:szCs w:val="24"/>
        </w:rPr>
        <w:t xml:space="preserve">8% </w:t>
      </w:r>
      <w:r w:rsidRPr="00B77E9E">
        <w:rPr>
          <w:rFonts w:ascii="Arial" w:hAnsi="Arial" w:cs="Arial"/>
          <w:sz w:val="24"/>
          <w:szCs w:val="24"/>
        </w:rPr>
        <w:t xml:space="preserve">del territorio nazionale e </w:t>
      </w:r>
      <w:r w:rsidR="00C6303B">
        <w:rPr>
          <w:rFonts w:ascii="Arial" w:hAnsi="Arial" w:cs="Arial"/>
          <w:sz w:val="24"/>
          <w:szCs w:val="24"/>
        </w:rPr>
        <w:t>6</w:t>
      </w:r>
      <w:r w:rsidRPr="00B77E9E">
        <w:rPr>
          <w:rFonts w:ascii="Arial" w:hAnsi="Arial" w:cs="Arial"/>
          <w:sz w:val="24"/>
          <w:szCs w:val="24"/>
        </w:rPr>
        <w:t xml:space="preserve"> milioni di residenti siano esposti a</w:t>
      </w:r>
      <w:r w:rsidR="00C6303B">
        <w:rPr>
          <w:rFonts w:ascii="Arial" w:hAnsi="Arial" w:cs="Arial"/>
          <w:sz w:val="24"/>
          <w:szCs w:val="24"/>
        </w:rPr>
        <w:t>d</w:t>
      </w:r>
      <w:r w:rsidRPr="00B77E9E">
        <w:rPr>
          <w:rFonts w:ascii="Arial" w:hAnsi="Arial" w:cs="Arial"/>
          <w:sz w:val="24"/>
          <w:szCs w:val="24"/>
        </w:rPr>
        <w:t xml:space="preserve"> alto rischio idrogeologico, altri </w:t>
      </w:r>
      <w:r w:rsidR="00C6303B">
        <w:rPr>
          <w:rFonts w:ascii="Arial" w:hAnsi="Arial" w:cs="Arial"/>
          <w:sz w:val="24"/>
          <w:szCs w:val="24"/>
        </w:rPr>
        <w:t>22</w:t>
      </w:r>
      <w:r w:rsidRPr="00B77E9E">
        <w:rPr>
          <w:rFonts w:ascii="Arial" w:hAnsi="Arial" w:cs="Arial"/>
          <w:sz w:val="24"/>
          <w:szCs w:val="24"/>
        </w:rPr>
        <w:t xml:space="preserve"> milioni di abitanti a rischio medio.</w:t>
      </w:r>
      <w:r>
        <w:rPr>
          <w:rFonts w:ascii="Arial" w:hAnsi="Arial" w:cs="Arial"/>
          <w:sz w:val="24"/>
          <w:szCs w:val="24"/>
        </w:rPr>
        <w:t xml:space="preserve"> Diventa</w:t>
      </w:r>
      <w:r w:rsidR="00C6303B">
        <w:rPr>
          <w:rFonts w:ascii="Arial" w:hAnsi="Arial" w:cs="Arial"/>
          <w:sz w:val="24"/>
          <w:szCs w:val="24"/>
        </w:rPr>
        <w:t>,</w:t>
      </w:r>
      <w:r>
        <w:rPr>
          <w:rFonts w:ascii="Arial" w:hAnsi="Arial" w:cs="Arial"/>
          <w:sz w:val="24"/>
          <w:szCs w:val="24"/>
        </w:rPr>
        <w:t xml:space="preserve"> quindi</w:t>
      </w:r>
      <w:r w:rsidR="00C6303B">
        <w:rPr>
          <w:rFonts w:ascii="Arial" w:hAnsi="Arial" w:cs="Arial"/>
          <w:sz w:val="24"/>
          <w:szCs w:val="24"/>
        </w:rPr>
        <w:t>,</w:t>
      </w:r>
      <w:r>
        <w:rPr>
          <w:rFonts w:ascii="Arial" w:hAnsi="Arial" w:cs="Arial"/>
          <w:sz w:val="24"/>
          <w:szCs w:val="24"/>
        </w:rPr>
        <w:t xml:space="preserve"> prioritario </w:t>
      </w:r>
      <w:r w:rsidRPr="00C853A1">
        <w:rPr>
          <w:rFonts w:ascii="Arial" w:hAnsi="Arial" w:cs="Arial"/>
          <w:sz w:val="24"/>
          <w:szCs w:val="24"/>
        </w:rPr>
        <w:t>favorire la tutela ambientale e paesaggistica</w:t>
      </w:r>
      <w:r>
        <w:rPr>
          <w:rFonts w:ascii="Arial" w:hAnsi="Arial" w:cs="Arial"/>
          <w:sz w:val="24"/>
          <w:szCs w:val="24"/>
        </w:rPr>
        <w:t>,</w:t>
      </w:r>
      <w:r w:rsidRPr="00C853A1">
        <w:rPr>
          <w:rFonts w:ascii="Arial" w:hAnsi="Arial" w:cs="Arial"/>
          <w:sz w:val="24"/>
          <w:szCs w:val="24"/>
        </w:rPr>
        <w:t xml:space="preserve"> contrastare il dissesto idrogeologico</w:t>
      </w:r>
      <w:r>
        <w:rPr>
          <w:rFonts w:ascii="Arial" w:hAnsi="Arial" w:cs="Arial"/>
          <w:sz w:val="24"/>
          <w:szCs w:val="24"/>
        </w:rPr>
        <w:t xml:space="preserve"> </w:t>
      </w:r>
      <w:r w:rsidRPr="00C853A1">
        <w:rPr>
          <w:rFonts w:ascii="Arial" w:hAnsi="Arial" w:cs="Arial"/>
          <w:sz w:val="24"/>
          <w:szCs w:val="24"/>
        </w:rPr>
        <w:t>nelle aree interne e marginali del paese</w:t>
      </w:r>
      <w:r>
        <w:rPr>
          <w:rFonts w:ascii="Arial" w:hAnsi="Arial" w:cs="Arial"/>
          <w:sz w:val="24"/>
          <w:szCs w:val="24"/>
        </w:rPr>
        <w:t xml:space="preserve"> valorizzando il ruolo degli agricoltori.</w:t>
      </w:r>
      <w:r w:rsidRPr="00AA152B">
        <w:rPr>
          <w:rFonts w:ascii="Arial" w:hAnsi="Arial" w:cs="Arial"/>
          <w:sz w:val="24"/>
          <w:szCs w:val="24"/>
        </w:rPr>
        <w:t xml:space="preserve"> </w:t>
      </w:r>
      <w:r>
        <w:rPr>
          <w:rFonts w:ascii="Arial" w:hAnsi="Arial" w:cs="Arial"/>
          <w:sz w:val="24"/>
          <w:szCs w:val="24"/>
        </w:rPr>
        <w:t xml:space="preserve">Un obiettivo, quest’ultimo, in linea e in continuità anche rispetto alle disposizioni contenute nel Capo III (articoli 14 e 15) del decreto legislativo </w:t>
      </w:r>
      <w:bookmarkStart w:id="0" w:name="inizio"/>
      <w:r w:rsidRPr="00BA2A42">
        <w:rPr>
          <w:rFonts w:ascii="Arial" w:hAnsi="Arial" w:cs="Arial"/>
          <w:sz w:val="24"/>
          <w:szCs w:val="24"/>
        </w:rPr>
        <w:t>18 maggio 2001, n. 228</w:t>
      </w:r>
      <w:bookmarkEnd w:id="0"/>
      <w:r w:rsidRPr="00BA2A42">
        <w:rPr>
          <w:rFonts w:ascii="Arial" w:hAnsi="Arial" w:cs="Arial"/>
          <w:sz w:val="24"/>
          <w:szCs w:val="24"/>
        </w:rPr>
        <w:t xml:space="preserve"> (“legge di orientamento in agricoltura”)</w:t>
      </w:r>
      <w:r>
        <w:rPr>
          <w:rFonts w:ascii="Arial" w:hAnsi="Arial" w:cs="Arial"/>
          <w:sz w:val="24"/>
          <w:szCs w:val="24"/>
        </w:rPr>
        <w:t>. In quest’ottica, tra gli strumenti ipotizzabili, l’istituzione</w:t>
      </w:r>
      <w:r w:rsidRPr="00AA152B">
        <w:rPr>
          <w:rFonts w:ascii="Arial" w:hAnsi="Arial" w:cs="Arial"/>
          <w:sz w:val="24"/>
          <w:szCs w:val="24"/>
        </w:rPr>
        <w:t xml:space="preserve"> di un </w:t>
      </w:r>
      <w:r w:rsidRPr="00130BD0">
        <w:rPr>
          <w:rFonts w:ascii="Arial" w:hAnsi="Arial" w:cs="Arial"/>
          <w:sz w:val="24"/>
          <w:szCs w:val="24"/>
          <w:u w:val="single"/>
        </w:rPr>
        <w:t xml:space="preserve">Fondo </w:t>
      </w:r>
      <w:r w:rsidRPr="00130BD0">
        <w:rPr>
          <w:rFonts w:ascii="Arial" w:hAnsi="Arial" w:cs="Arial"/>
          <w:i/>
          <w:sz w:val="24"/>
          <w:szCs w:val="24"/>
          <w:u w:val="single"/>
        </w:rPr>
        <w:t>ad hoc</w:t>
      </w:r>
      <w:r w:rsidRPr="00130BD0">
        <w:rPr>
          <w:rFonts w:ascii="Arial" w:hAnsi="Arial" w:cs="Arial"/>
          <w:sz w:val="24"/>
          <w:szCs w:val="24"/>
          <w:u w:val="single"/>
        </w:rPr>
        <w:t xml:space="preserve"> per incentivare il ruolo delle imprese agricole e forestali</w:t>
      </w:r>
      <w:r w:rsidR="00C6303B">
        <w:rPr>
          <w:rFonts w:ascii="Arial" w:hAnsi="Arial" w:cs="Arial"/>
          <w:sz w:val="24"/>
          <w:szCs w:val="24"/>
          <w:u w:val="single"/>
        </w:rPr>
        <w:t>,</w:t>
      </w:r>
      <w:r w:rsidRPr="00AA152B">
        <w:rPr>
          <w:rFonts w:ascii="Arial" w:hAnsi="Arial" w:cs="Arial"/>
          <w:sz w:val="24"/>
          <w:szCs w:val="24"/>
        </w:rPr>
        <w:t xml:space="preserve"> nella messa in sicurezza e manutenzione del suolo.</w:t>
      </w:r>
      <w:r>
        <w:rPr>
          <w:rFonts w:ascii="Arial" w:hAnsi="Arial" w:cs="Arial"/>
          <w:sz w:val="24"/>
          <w:szCs w:val="24"/>
        </w:rPr>
        <w:t xml:space="preserve">  </w:t>
      </w:r>
    </w:p>
    <w:p w14:paraId="4D9CEA24" w14:textId="77777777" w:rsidR="00104FF6" w:rsidRPr="00DE7DBE" w:rsidRDefault="00104FF6" w:rsidP="00130BD0">
      <w:pPr>
        <w:spacing w:after="120" w:line="240" w:lineRule="auto"/>
        <w:rPr>
          <w:rFonts w:ascii="Arial" w:hAnsi="Arial" w:cs="Arial"/>
          <w:b/>
          <w:i/>
          <w:color w:val="00B050"/>
          <w:sz w:val="28"/>
          <w:szCs w:val="28"/>
        </w:rPr>
      </w:pPr>
      <w:r>
        <w:rPr>
          <w:rFonts w:ascii="Arial" w:hAnsi="Arial" w:cs="Arial"/>
          <w:b/>
          <w:i/>
          <w:color w:val="00B050"/>
          <w:sz w:val="28"/>
          <w:szCs w:val="28"/>
        </w:rPr>
        <w:t>Sgravi</w:t>
      </w:r>
      <w:r w:rsidRPr="00DE7DBE">
        <w:rPr>
          <w:rFonts w:ascii="Arial" w:hAnsi="Arial" w:cs="Arial"/>
          <w:b/>
          <w:i/>
          <w:color w:val="00B050"/>
          <w:sz w:val="28"/>
          <w:szCs w:val="28"/>
        </w:rPr>
        <w:t xml:space="preserve"> fiscali e contributiv</w:t>
      </w:r>
      <w:r>
        <w:rPr>
          <w:rFonts w:ascii="Arial" w:hAnsi="Arial" w:cs="Arial"/>
          <w:b/>
          <w:i/>
          <w:color w:val="00B050"/>
          <w:sz w:val="28"/>
          <w:szCs w:val="28"/>
        </w:rPr>
        <w:t>i</w:t>
      </w:r>
    </w:p>
    <w:p w14:paraId="17CF4C4F" w14:textId="77777777" w:rsidR="00104FF6" w:rsidRDefault="00104FF6" w:rsidP="00130BD0">
      <w:pPr>
        <w:spacing w:after="120" w:line="240" w:lineRule="auto"/>
        <w:rPr>
          <w:rFonts w:ascii="Arial" w:hAnsi="Arial" w:cs="Arial"/>
          <w:sz w:val="24"/>
          <w:szCs w:val="24"/>
        </w:rPr>
      </w:pPr>
      <w:r w:rsidRPr="00A64039">
        <w:rPr>
          <w:rFonts w:ascii="Arial" w:hAnsi="Arial" w:cs="Arial"/>
          <w:sz w:val="24"/>
          <w:szCs w:val="24"/>
        </w:rPr>
        <w:t xml:space="preserve">Si ritiene </w:t>
      </w:r>
      <w:r>
        <w:rPr>
          <w:rFonts w:ascii="Arial" w:hAnsi="Arial" w:cs="Arial"/>
          <w:sz w:val="24"/>
          <w:szCs w:val="24"/>
        </w:rPr>
        <w:t>opportuno</w:t>
      </w:r>
      <w:r w:rsidRPr="00A64039">
        <w:rPr>
          <w:rFonts w:ascii="Arial" w:hAnsi="Arial" w:cs="Arial"/>
          <w:sz w:val="24"/>
          <w:szCs w:val="24"/>
        </w:rPr>
        <w:t xml:space="preserve"> </w:t>
      </w:r>
      <w:r w:rsidRPr="00953F40">
        <w:rPr>
          <w:rFonts w:ascii="Arial" w:hAnsi="Arial" w:cs="Arial"/>
          <w:sz w:val="24"/>
          <w:szCs w:val="24"/>
          <w:u w:val="single"/>
        </w:rPr>
        <w:t>riproporre sgravi fiscali e contributivi in scadenza o che non sono stati rinnovati</w:t>
      </w:r>
      <w:r w:rsidRPr="00A64039">
        <w:rPr>
          <w:rFonts w:ascii="Arial" w:hAnsi="Arial" w:cs="Arial"/>
          <w:sz w:val="24"/>
          <w:szCs w:val="24"/>
        </w:rPr>
        <w:t xml:space="preserve"> nel corso dell’ultimi anno. </w:t>
      </w:r>
      <w:r>
        <w:rPr>
          <w:rFonts w:ascii="Arial" w:hAnsi="Arial" w:cs="Arial"/>
          <w:sz w:val="24"/>
          <w:szCs w:val="24"/>
        </w:rPr>
        <w:t xml:space="preserve"> </w:t>
      </w:r>
    </w:p>
    <w:p w14:paraId="06AF3564" w14:textId="77777777" w:rsidR="00104FF6" w:rsidRDefault="00104FF6" w:rsidP="00130BD0">
      <w:pPr>
        <w:pStyle w:val="Paragrafoelenco"/>
        <w:numPr>
          <w:ilvl w:val="0"/>
          <w:numId w:val="2"/>
        </w:numPr>
        <w:spacing w:after="120" w:line="240" w:lineRule="auto"/>
        <w:ind w:left="714" w:hanging="357"/>
        <w:contextualSpacing w:val="0"/>
        <w:jc w:val="both"/>
        <w:rPr>
          <w:rFonts w:ascii="Arial" w:hAnsi="Arial" w:cs="Arial"/>
          <w:sz w:val="24"/>
          <w:szCs w:val="24"/>
        </w:rPr>
      </w:pPr>
      <w:r w:rsidRPr="00953F40">
        <w:rPr>
          <w:rFonts w:ascii="Arial" w:hAnsi="Arial" w:cs="Arial"/>
          <w:sz w:val="24"/>
          <w:szCs w:val="24"/>
        </w:rPr>
        <w:t>Sul primo fronte, necessario riproporre per il biennio 2020-2021 l’esenzione dei redditi dominicali e agrari alla formazione della base imponibile ai fini dell’imposta sul reddito delle persone fisiche dei coltivatori diretti e degli imprenditori agricoli professionali (</w:t>
      </w:r>
      <w:proofErr w:type="spellStart"/>
      <w:r w:rsidRPr="00953F40">
        <w:rPr>
          <w:rFonts w:ascii="Arial" w:hAnsi="Arial" w:cs="Arial"/>
          <w:sz w:val="24"/>
          <w:szCs w:val="24"/>
        </w:rPr>
        <w:t>Iap</w:t>
      </w:r>
      <w:proofErr w:type="spellEnd"/>
      <w:r w:rsidRPr="00953F40">
        <w:rPr>
          <w:rFonts w:ascii="Arial" w:hAnsi="Arial" w:cs="Arial"/>
          <w:sz w:val="24"/>
          <w:szCs w:val="24"/>
        </w:rPr>
        <w:t xml:space="preserve">), iscritti nella previdenza agricola. Tale disposizione, introdotta dalla legge di Bilancio 2017, è valida infatti fino al 2019.  </w:t>
      </w:r>
    </w:p>
    <w:p w14:paraId="0A9FE3C5" w14:textId="77777777" w:rsidR="00F02173" w:rsidRDefault="00104FF6" w:rsidP="00130BD0">
      <w:pPr>
        <w:pStyle w:val="Paragrafoelenco"/>
        <w:numPr>
          <w:ilvl w:val="0"/>
          <w:numId w:val="2"/>
        </w:numPr>
        <w:spacing w:after="120" w:line="240" w:lineRule="auto"/>
        <w:ind w:left="714" w:hanging="357"/>
        <w:contextualSpacing w:val="0"/>
        <w:jc w:val="both"/>
        <w:rPr>
          <w:rFonts w:ascii="Arial" w:hAnsi="Arial" w:cs="Arial"/>
          <w:sz w:val="24"/>
          <w:szCs w:val="24"/>
        </w:rPr>
      </w:pPr>
      <w:r w:rsidRPr="00953F40">
        <w:rPr>
          <w:rFonts w:ascii="Arial" w:hAnsi="Arial" w:cs="Arial"/>
          <w:sz w:val="24"/>
          <w:szCs w:val="24"/>
        </w:rPr>
        <w:t>Dal punto di vista delle esenzioni contributive, auspicabile la riproposizione dell’esonero contributivo in favore dei giovani imprenditori agricoli, introdotto nel 2017 e riproposto nella successiva legge di bilancio 2018. Tale misura, importante e strategica</w:t>
      </w:r>
      <w:r>
        <w:rPr>
          <w:rFonts w:ascii="Arial" w:hAnsi="Arial" w:cs="Arial"/>
          <w:sz w:val="24"/>
          <w:szCs w:val="24"/>
        </w:rPr>
        <w:t xml:space="preserve"> in termini di ricambio generazionale</w:t>
      </w:r>
      <w:r w:rsidRPr="00953F40">
        <w:rPr>
          <w:rFonts w:ascii="Arial" w:hAnsi="Arial" w:cs="Arial"/>
          <w:sz w:val="24"/>
          <w:szCs w:val="24"/>
        </w:rPr>
        <w:t xml:space="preserve">, consente ai coltivatori diretti e agli imprenditori agricoli di età inferiore a 40 anni, iscritti alla previdenza agricola nell’anno in corso,  </w:t>
      </w:r>
      <w:r>
        <w:rPr>
          <w:rFonts w:ascii="Arial" w:hAnsi="Arial" w:cs="Arial"/>
          <w:sz w:val="24"/>
          <w:szCs w:val="24"/>
        </w:rPr>
        <w:t xml:space="preserve">di essere </w:t>
      </w:r>
      <w:r w:rsidRPr="00953F40">
        <w:rPr>
          <w:rFonts w:ascii="Arial" w:hAnsi="Arial" w:cs="Arial"/>
          <w:sz w:val="24"/>
          <w:szCs w:val="24"/>
        </w:rPr>
        <w:t>esoner</w:t>
      </w:r>
      <w:r>
        <w:rPr>
          <w:rFonts w:ascii="Arial" w:hAnsi="Arial" w:cs="Arial"/>
          <w:sz w:val="24"/>
          <w:szCs w:val="24"/>
        </w:rPr>
        <w:t>ati</w:t>
      </w:r>
      <w:r w:rsidRPr="00953F40">
        <w:rPr>
          <w:rFonts w:ascii="Arial" w:hAnsi="Arial" w:cs="Arial"/>
          <w:sz w:val="24"/>
          <w:szCs w:val="24"/>
        </w:rPr>
        <w:t xml:space="preserve"> dal versamento </w:t>
      </w:r>
      <w:r>
        <w:rPr>
          <w:rFonts w:ascii="Arial" w:hAnsi="Arial" w:cs="Arial"/>
          <w:sz w:val="24"/>
          <w:szCs w:val="24"/>
        </w:rPr>
        <w:t>(</w:t>
      </w:r>
      <w:r w:rsidRPr="00953F40">
        <w:rPr>
          <w:rFonts w:ascii="Arial" w:hAnsi="Arial" w:cs="Arial"/>
          <w:sz w:val="24"/>
          <w:szCs w:val="24"/>
        </w:rPr>
        <w:t>100%</w:t>
      </w:r>
      <w:r>
        <w:rPr>
          <w:rFonts w:ascii="Arial" w:hAnsi="Arial" w:cs="Arial"/>
          <w:sz w:val="24"/>
          <w:szCs w:val="24"/>
        </w:rPr>
        <w:t>)</w:t>
      </w:r>
      <w:r w:rsidRPr="00953F40">
        <w:rPr>
          <w:rFonts w:ascii="Arial" w:hAnsi="Arial" w:cs="Arial"/>
          <w:sz w:val="24"/>
          <w:szCs w:val="24"/>
        </w:rPr>
        <w:t xml:space="preserve"> dei contributi previdenziali per un periodo massimo di 36 mesi. Trascorsi i primi tre anni l’esonero </w:t>
      </w:r>
      <w:r w:rsidRPr="00953F40">
        <w:rPr>
          <w:rFonts w:ascii="Arial" w:hAnsi="Arial" w:cs="Arial"/>
          <w:sz w:val="24"/>
          <w:szCs w:val="24"/>
        </w:rPr>
        <w:lastRenderedPageBreak/>
        <w:t xml:space="preserve">prevede delle riduzioni graduali. </w:t>
      </w:r>
      <w:r>
        <w:rPr>
          <w:rFonts w:ascii="Arial" w:hAnsi="Arial" w:cs="Arial"/>
          <w:sz w:val="24"/>
          <w:szCs w:val="24"/>
        </w:rPr>
        <w:t xml:space="preserve">Tuttavia, lo scorso anno la misura non ha </w:t>
      </w:r>
      <w:r w:rsidRPr="00953F40">
        <w:rPr>
          <w:rFonts w:ascii="Arial" w:hAnsi="Arial" w:cs="Arial"/>
          <w:sz w:val="24"/>
          <w:szCs w:val="24"/>
        </w:rPr>
        <w:t xml:space="preserve">trovato conferma all’interno della legge di bilancio.    </w:t>
      </w:r>
    </w:p>
    <w:p w14:paraId="32F1B703" w14:textId="77777777" w:rsidR="00033F75" w:rsidRDefault="00033F75" w:rsidP="00130BD0">
      <w:pPr>
        <w:spacing w:after="0" w:line="240" w:lineRule="auto"/>
        <w:jc w:val="both"/>
        <w:rPr>
          <w:rFonts w:ascii="Arial" w:hAnsi="Arial" w:cs="Arial"/>
          <w:b/>
          <w:i/>
          <w:color w:val="00B050"/>
          <w:sz w:val="28"/>
          <w:szCs w:val="28"/>
        </w:rPr>
      </w:pPr>
    </w:p>
    <w:p w14:paraId="7E06BBA3" w14:textId="3972027D" w:rsidR="00F02173" w:rsidRPr="00F02173" w:rsidRDefault="00F02173" w:rsidP="00130BD0">
      <w:pPr>
        <w:spacing w:after="120" w:line="240" w:lineRule="auto"/>
        <w:jc w:val="both"/>
        <w:rPr>
          <w:rFonts w:ascii="Arial" w:hAnsi="Arial" w:cs="Arial"/>
          <w:b/>
          <w:i/>
          <w:color w:val="00B050"/>
          <w:sz w:val="28"/>
          <w:szCs w:val="28"/>
        </w:rPr>
      </w:pPr>
      <w:r w:rsidRPr="00F02173">
        <w:rPr>
          <w:rFonts w:ascii="Arial" w:hAnsi="Arial" w:cs="Arial"/>
          <w:b/>
          <w:i/>
          <w:color w:val="00B050"/>
          <w:sz w:val="28"/>
          <w:szCs w:val="28"/>
        </w:rPr>
        <w:t xml:space="preserve">Rinnovamento </w:t>
      </w:r>
      <w:r>
        <w:rPr>
          <w:rFonts w:ascii="Arial" w:hAnsi="Arial" w:cs="Arial"/>
          <w:b/>
          <w:i/>
          <w:color w:val="00B050"/>
          <w:sz w:val="28"/>
          <w:szCs w:val="28"/>
        </w:rPr>
        <w:t>ed e</w:t>
      </w:r>
      <w:r w:rsidRPr="00F02173">
        <w:rPr>
          <w:rFonts w:ascii="Arial" w:hAnsi="Arial" w:cs="Arial"/>
          <w:b/>
          <w:i/>
          <w:color w:val="00B050"/>
          <w:sz w:val="28"/>
          <w:szCs w:val="28"/>
        </w:rPr>
        <w:t>fficienza energetica macchine agricole</w:t>
      </w:r>
    </w:p>
    <w:p w14:paraId="63595C57" w14:textId="6A437511" w:rsidR="00A149BB" w:rsidRPr="00A149BB" w:rsidRDefault="00F02173" w:rsidP="00130BD0">
      <w:pPr>
        <w:spacing w:after="120" w:line="240" w:lineRule="auto"/>
        <w:jc w:val="both"/>
        <w:rPr>
          <w:rFonts w:ascii="Arial" w:hAnsi="Arial" w:cs="Arial"/>
          <w:color w:val="000000"/>
          <w:sz w:val="24"/>
          <w:szCs w:val="24"/>
          <w:shd w:val="clear" w:color="auto" w:fill="FFFFFF"/>
        </w:rPr>
      </w:pPr>
      <w:r w:rsidRPr="00F02173">
        <w:rPr>
          <w:rFonts w:ascii="Arial" w:hAnsi="Arial" w:cs="Arial"/>
          <w:color w:val="000000"/>
          <w:sz w:val="24"/>
          <w:szCs w:val="24"/>
          <w:shd w:val="clear" w:color="auto" w:fill="FFFFFF"/>
        </w:rPr>
        <w:t>Le attuali statistiche riportano un parco trattrici agricole in Italia di oltre 1.500.000 macchine distribuite sul territorio e un mercato di vendite di macchine nuove di circa 20.000 trattrici ogni anno. Il tutto in un paese con un parco macchine con un’età media di circa 25 anni.</w:t>
      </w:r>
      <w:r>
        <w:rPr>
          <w:rFonts w:ascii="Arial" w:hAnsi="Arial" w:cs="Arial"/>
          <w:color w:val="000000"/>
          <w:sz w:val="24"/>
          <w:szCs w:val="24"/>
          <w:shd w:val="clear" w:color="auto" w:fill="FFFFFF"/>
        </w:rPr>
        <w:t xml:space="preserve"> Tale obsolescenza, </w:t>
      </w:r>
      <w:r w:rsidR="00A149BB">
        <w:rPr>
          <w:rFonts w:ascii="Arial" w:hAnsi="Arial" w:cs="Arial"/>
          <w:color w:val="000000"/>
          <w:sz w:val="24"/>
          <w:szCs w:val="24"/>
          <w:shd w:val="clear" w:color="auto" w:fill="FFFFFF"/>
        </w:rPr>
        <w:t xml:space="preserve">risulta particolarmente impattante sull’agricoltura nazionale anche in virtù delle ripercussioni derivanti delle continue  </w:t>
      </w:r>
      <w:r w:rsidR="00A149BB" w:rsidRPr="00A149BB">
        <w:rPr>
          <w:rFonts w:ascii="Arial" w:hAnsi="Arial" w:cs="Arial"/>
          <w:color w:val="000000"/>
          <w:sz w:val="24"/>
          <w:szCs w:val="24"/>
          <w:shd w:val="clear" w:color="auto" w:fill="FFFFFF"/>
        </w:rPr>
        <w:t>evoluzioni normative in materia di sicurezza sul lavoro, sicurezza ambientale e competitività delle imprese</w:t>
      </w:r>
      <w:r w:rsidR="00A149BB">
        <w:rPr>
          <w:rFonts w:ascii="Arial" w:hAnsi="Arial" w:cs="Arial"/>
          <w:color w:val="000000"/>
          <w:sz w:val="24"/>
          <w:szCs w:val="24"/>
          <w:shd w:val="clear" w:color="auto" w:fill="FFFFFF"/>
        </w:rPr>
        <w:t xml:space="preserve">. </w:t>
      </w:r>
      <w:r w:rsidR="00A149BB" w:rsidRPr="00A149BB">
        <w:rPr>
          <w:rFonts w:ascii="Arial" w:hAnsi="Arial" w:cs="Arial"/>
          <w:color w:val="000000"/>
          <w:sz w:val="24"/>
          <w:szCs w:val="24"/>
          <w:shd w:val="clear" w:color="auto" w:fill="FFFFFF"/>
        </w:rPr>
        <w:t xml:space="preserve">Per tali ragioni, appare evidente la necessità di promuovere e </w:t>
      </w:r>
      <w:proofErr w:type="gramStart"/>
      <w:r w:rsidR="00A149BB" w:rsidRPr="00A149BB">
        <w:rPr>
          <w:rFonts w:ascii="Arial" w:hAnsi="Arial" w:cs="Arial"/>
          <w:color w:val="000000"/>
          <w:sz w:val="24"/>
          <w:szCs w:val="24"/>
          <w:shd w:val="clear" w:color="auto" w:fill="FFFFFF"/>
        </w:rPr>
        <w:t>porre in essere</w:t>
      </w:r>
      <w:proofErr w:type="gramEnd"/>
      <w:r w:rsidR="00C6303B">
        <w:rPr>
          <w:rFonts w:ascii="Arial" w:hAnsi="Arial" w:cs="Arial"/>
          <w:color w:val="000000"/>
          <w:sz w:val="24"/>
          <w:szCs w:val="24"/>
          <w:shd w:val="clear" w:color="auto" w:fill="FFFFFF"/>
        </w:rPr>
        <w:t>,</w:t>
      </w:r>
      <w:r w:rsidR="00A149BB" w:rsidRPr="00A149BB">
        <w:rPr>
          <w:rFonts w:ascii="Arial" w:hAnsi="Arial" w:cs="Arial"/>
          <w:color w:val="000000"/>
          <w:sz w:val="24"/>
          <w:szCs w:val="24"/>
          <w:shd w:val="clear" w:color="auto" w:fill="FFFFFF"/>
        </w:rPr>
        <w:t xml:space="preserve"> quanto prima </w:t>
      </w:r>
      <w:r w:rsidR="00A149BB" w:rsidRPr="00130BD0">
        <w:rPr>
          <w:rFonts w:ascii="Arial" w:hAnsi="Arial" w:cs="Arial"/>
          <w:color w:val="000000"/>
          <w:sz w:val="24"/>
          <w:szCs w:val="24"/>
          <w:u w:val="single"/>
          <w:shd w:val="clear" w:color="auto" w:fill="FFFFFF"/>
        </w:rPr>
        <w:t>azioni volte a un rinnovo del parco macchine</w:t>
      </w:r>
      <w:r w:rsidR="00A149BB" w:rsidRPr="00A149BB">
        <w:rPr>
          <w:rFonts w:ascii="Arial" w:hAnsi="Arial" w:cs="Arial"/>
          <w:color w:val="000000"/>
          <w:sz w:val="24"/>
          <w:szCs w:val="24"/>
          <w:shd w:val="clear" w:color="auto" w:fill="FFFFFF"/>
        </w:rPr>
        <w:t xml:space="preserve"> in assenza delle quali l’età media andrà rapidamente aumentando con gravi conseguenze per il settore tra cui la perdita di competitività in Italia e all’estero.</w:t>
      </w:r>
    </w:p>
    <w:p w14:paraId="763866D2" w14:textId="77777777" w:rsidR="00A149BB" w:rsidRDefault="00A149BB" w:rsidP="00130BD0">
      <w:pPr>
        <w:spacing w:after="120" w:line="240" w:lineRule="auto"/>
        <w:jc w:val="both"/>
        <w:rPr>
          <w:rFonts w:ascii="Arial" w:hAnsi="Arial" w:cs="Arial"/>
          <w:color w:val="000000"/>
          <w:sz w:val="24"/>
          <w:szCs w:val="24"/>
          <w:shd w:val="clear" w:color="auto" w:fill="FFFFFF"/>
        </w:rPr>
      </w:pPr>
    </w:p>
    <w:p w14:paraId="6CCD71BC" w14:textId="77777777" w:rsidR="00DF7E9F" w:rsidRPr="00DF7E9F" w:rsidRDefault="00DF7E9F" w:rsidP="00130BD0">
      <w:pPr>
        <w:spacing w:after="120" w:line="240" w:lineRule="auto"/>
        <w:jc w:val="both"/>
        <w:rPr>
          <w:rFonts w:ascii="Arial" w:hAnsi="Arial" w:cs="Arial"/>
          <w:b/>
          <w:i/>
          <w:color w:val="00B050"/>
          <w:sz w:val="28"/>
          <w:szCs w:val="28"/>
        </w:rPr>
      </w:pPr>
      <w:r w:rsidRPr="00DF7E9F">
        <w:rPr>
          <w:rFonts w:ascii="Arial" w:hAnsi="Arial" w:cs="Arial"/>
          <w:b/>
          <w:i/>
          <w:color w:val="00B050"/>
          <w:sz w:val="28"/>
          <w:szCs w:val="28"/>
        </w:rPr>
        <w:t xml:space="preserve">Bonus Verde </w:t>
      </w:r>
    </w:p>
    <w:p w14:paraId="2091256C" w14:textId="77777777" w:rsidR="00DF7E9F" w:rsidRPr="00DF7E9F" w:rsidRDefault="00DF7E9F" w:rsidP="00130BD0">
      <w:pPr>
        <w:spacing w:after="120" w:line="240" w:lineRule="auto"/>
        <w:jc w:val="both"/>
        <w:rPr>
          <w:rFonts w:ascii="Arial" w:hAnsi="Arial" w:cs="Arial"/>
          <w:sz w:val="24"/>
          <w:szCs w:val="24"/>
        </w:rPr>
      </w:pPr>
      <w:r w:rsidRPr="00DF7E9F">
        <w:rPr>
          <w:rFonts w:ascii="Arial" w:hAnsi="Arial" w:cs="Arial"/>
          <w:iCs/>
          <w:sz w:val="24"/>
          <w:szCs w:val="24"/>
        </w:rPr>
        <w:t>Il “</w:t>
      </w:r>
      <w:r w:rsidRPr="00130BD0">
        <w:rPr>
          <w:rFonts w:ascii="Arial" w:hAnsi="Arial" w:cs="Arial"/>
          <w:iCs/>
          <w:sz w:val="24"/>
          <w:szCs w:val="24"/>
          <w:u w:val="single"/>
        </w:rPr>
        <w:t>Bonus verde</w:t>
      </w:r>
      <w:r w:rsidRPr="00DF7E9F">
        <w:rPr>
          <w:rFonts w:ascii="Arial" w:hAnsi="Arial" w:cs="Arial"/>
          <w:iCs/>
          <w:sz w:val="24"/>
          <w:szCs w:val="24"/>
        </w:rPr>
        <w:t xml:space="preserve">”, introdotto dalla legge </w:t>
      </w:r>
      <w:r w:rsidRPr="00DF7E9F">
        <w:rPr>
          <w:rFonts w:ascii="Arial" w:hAnsi="Arial" w:cs="Arial"/>
          <w:sz w:val="24"/>
          <w:szCs w:val="24"/>
        </w:rPr>
        <w:t>27 dicembre 2017, n. 205 e attraverso il quale le persone fisiche possono detrarre dalle imposte sui redditi il 36% delle spese sostenute (fino a 5000 euro per unità abitativa) per interventi di sistemazione a verde, realizzazione di coperture a verde e giardini pensili, ha rappresentato un importante strumento sul fronte dello sviluppo sostenibile e della valorizzazione del verde urbano. A tal riguardo, si ritiene strategico proporre la proroga dello strumento.</w:t>
      </w:r>
    </w:p>
    <w:p w14:paraId="7B5557E7" w14:textId="77777777" w:rsidR="007646FC" w:rsidRPr="00DE7DBE" w:rsidRDefault="00B23B9D" w:rsidP="00130BD0">
      <w:pPr>
        <w:spacing w:after="120" w:line="240" w:lineRule="auto"/>
        <w:rPr>
          <w:rFonts w:ascii="Arial" w:hAnsi="Arial" w:cs="Arial"/>
          <w:b/>
          <w:i/>
          <w:color w:val="00B050"/>
          <w:sz w:val="28"/>
          <w:szCs w:val="28"/>
        </w:rPr>
      </w:pPr>
      <w:r w:rsidRPr="00DE7DBE">
        <w:rPr>
          <w:rFonts w:ascii="Arial" w:hAnsi="Arial" w:cs="Arial"/>
          <w:b/>
          <w:i/>
          <w:color w:val="00B050"/>
          <w:sz w:val="28"/>
          <w:szCs w:val="28"/>
        </w:rPr>
        <w:t>Certificazione a</w:t>
      </w:r>
      <w:r w:rsidR="005E71CA" w:rsidRPr="00DE7DBE">
        <w:rPr>
          <w:rFonts w:ascii="Arial" w:hAnsi="Arial" w:cs="Arial"/>
          <w:b/>
          <w:i/>
          <w:color w:val="00B050"/>
          <w:sz w:val="28"/>
          <w:szCs w:val="28"/>
        </w:rPr>
        <w:t>ntimafia</w:t>
      </w:r>
    </w:p>
    <w:p w14:paraId="141A378D" w14:textId="38EEF254" w:rsidR="007646FC" w:rsidRDefault="00B23B9D" w:rsidP="00130BD0">
      <w:pPr>
        <w:spacing w:after="120" w:line="240" w:lineRule="auto"/>
        <w:jc w:val="both"/>
        <w:rPr>
          <w:rFonts w:ascii="Arial" w:hAnsi="Arial" w:cs="Arial"/>
          <w:sz w:val="24"/>
          <w:szCs w:val="24"/>
        </w:rPr>
      </w:pPr>
      <w:r w:rsidRPr="007646FC">
        <w:rPr>
          <w:rFonts w:ascii="Arial" w:hAnsi="Arial" w:cs="Arial"/>
          <w:sz w:val="24"/>
          <w:szCs w:val="24"/>
        </w:rPr>
        <w:t xml:space="preserve">Con l'approvazione del </w:t>
      </w:r>
      <w:r w:rsidR="007646FC" w:rsidRPr="007646FC">
        <w:rPr>
          <w:rFonts w:ascii="Arial" w:hAnsi="Arial" w:cs="Arial"/>
          <w:sz w:val="24"/>
          <w:szCs w:val="24"/>
        </w:rPr>
        <w:t>D</w:t>
      </w:r>
      <w:r w:rsidRPr="007646FC">
        <w:rPr>
          <w:rFonts w:ascii="Arial" w:hAnsi="Arial" w:cs="Arial"/>
          <w:sz w:val="24"/>
          <w:szCs w:val="24"/>
        </w:rPr>
        <w:t>ecreto sicurezza</w:t>
      </w:r>
      <w:r w:rsidR="007646FC" w:rsidRPr="007646FC">
        <w:rPr>
          <w:rFonts w:ascii="Arial" w:hAnsi="Arial" w:cs="Arial"/>
          <w:sz w:val="24"/>
          <w:szCs w:val="24"/>
        </w:rPr>
        <w:t>, lo scorso anno è stata</w:t>
      </w:r>
      <w:r w:rsidRPr="007646FC">
        <w:rPr>
          <w:rFonts w:ascii="Arial" w:hAnsi="Arial" w:cs="Arial"/>
          <w:sz w:val="24"/>
          <w:szCs w:val="24"/>
        </w:rPr>
        <w:t xml:space="preserve"> ratificata la proroga al 31 dicembre del 2019 </w:t>
      </w:r>
      <w:r w:rsidRPr="00130BD0">
        <w:rPr>
          <w:rFonts w:ascii="Arial" w:hAnsi="Arial" w:cs="Arial"/>
          <w:sz w:val="24"/>
          <w:szCs w:val="24"/>
          <w:u w:val="single"/>
        </w:rPr>
        <w:t>dell'esonero dalla presentazione della certificazione antimafia</w:t>
      </w:r>
      <w:r w:rsidRPr="007646FC">
        <w:rPr>
          <w:rFonts w:ascii="Arial" w:hAnsi="Arial" w:cs="Arial"/>
          <w:sz w:val="24"/>
          <w:szCs w:val="24"/>
        </w:rPr>
        <w:t xml:space="preserve"> per le aziende agricole che abbiano prodotto istanza o siano titolari a vario titolo di aiuti </w:t>
      </w:r>
      <w:proofErr w:type="spellStart"/>
      <w:r w:rsidRPr="007646FC">
        <w:rPr>
          <w:rFonts w:ascii="Arial" w:hAnsi="Arial" w:cs="Arial"/>
          <w:sz w:val="24"/>
          <w:szCs w:val="24"/>
        </w:rPr>
        <w:t>Pac</w:t>
      </w:r>
      <w:proofErr w:type="spellEnd"/>
      <w:r w:rsidRPr="007646FC">
        <w:rPr>
          <w:rFonts w:ascii="Arial" w:hAnsi="Arial" w:cs="Arial"/>
          <w:sz w:val="24"/>
          <w:szCs w:val="24"/>
        </w:rPr>
        <w:t xml:space="preserve"> fino a 25.000 euro</w:t>
      </w:r>
      <w:r w:rsidR="007646FC" w:rsidRPr="007646FC">
        <w:rPr>
          <w:rFonts w:ascii="Arial" w:hAnsi="Arial" w:cs="Arial"/>
          <w:sz w:val="24"/>
          <w:szCs w:val="24"/>
        </w:rPr>
        <w:t>. A tal riguardo</w:t>
      </w:r>
      <w:r w:rsidR="00C6303B">
        <w:rPr>
          <w:rFonts w:ascii="Arial" w:hAnsi="Arial" w:cs="Arial"/>
          <w:sz w:val="24"/>
          <w:szCs w:val="24"/>
        </w:rPr>
        <w:t>,</w:t>
      </w:r>
      <w:r w:rsidR="007646FC" w:rsidRPr="007646FC">
        <w:rPr>
          <w:rFonts w:ascii="Arial" w:hAnsi="Arial" w:cs="Arial"/>
          <w:sz w:val="24"/>
          <w:szCs w:val="24"/>
        </w:rPr>
        <w:t xml:space="preserve"> si rende necessario estendere tale esonero anche per il</w:t>
      </w:r>
      <w:r w:rsidR="007646FC">
        <w:rPr>
          <w:rFonts w:ascii="Arial" w:hAnsi="Arial" w:cs="Arial"/>
          <w:sz w:val="24"/>
          <w:szCs w:val="24"/>
        </w:rPr>
        <w:t xml:space="preserve"> </w:t>
      </w:r>
      <w:r w:rsidR="007646FC" w:rsidRPr="007646FC">
        <w:rPr>
          <w:rFonts w:ascii="Arial" w:hAnsi="Arial" w:cs="Arial"/>
          <w:sz w:val="24"/>
          <w:szCs w:val="24"/>
        </w:rPr>
        <w:t xml:space="preserve">2020. </w:t>
      </w:r>
      <w:r w:rsidR="007646FC">
        <w:rPr>
          <w:rFonts w:ascii="Arial" w:hAnsi="Arial" w:cs="Arial"/>
          <w:sz w:val="24"/>
          <w:szCs w:val="24"/>
        </w:rPr>
        <w:t>Venendo meno tale misura, si</w:t>
      </w:r>
      <w:r w:rsidR="007646FC" w:rsidRPr="007646FC">
        <w:rPr>
          <w:rFonts w:ascii="Arial" w:hAnsi="Arial" w:cs="Arial"/>
          <w:sz w:val="24"/>
          <w:szCs w:val="24"/>
        </w:rPr>
        <w:t xml:space="preserve"> rischierebbe concretamente </w:t>
      </w:r>
      <w:r w:rsidR="007646FC">
        <w:rPr>
          <w:rFonts w:ascii="Arial" w:hAnsi="Arial" w:cs="Arial"/>
          <w:sz w:val="24"/>
          <w:szCs w:val="24"/>
        </w:rPr>
        <w:t>di produrre un</w:t>
      </w:r>
      <w:r w:rsidR="007646FC" w:rsidRPr="00437651">
        <w:rPr>
          <w:rFonts w:ascii="Arial" w:hAnsi="Arial" w:cs="Arial"/>
          <w:sz w:val="24"/>
          <w:szCs w:val="24"/>
        </w:rPr>
        <w:t xml:space="preserve"> impatto burocratico di dimensioni importanti </w:t>
      </w:r>
      <w:r w:rsidR="007646FC">
        <w:rPr>
          <w:rFonts w:ascii="Arial" w:hAnsi="Arial" w:cs="Arial"/>
          <w:sz w:val="24"/>
          <w:szCs w:val="24"/>
        </w:rPr>
        <w:t xml:space="preserve">per le imprese agricole già alle prese con oneri amministrativi spesso insostenibili sia sul fronte nazionale quanto, soprattutto, su quello della gestione dei contributi comunitari. </w:t>
      </w:r>
    </w:p>
    <w:p w14:paraId="4CD1CECC" w14:textId="77777777" w:rsidR="001A1568" w:rsidRPr="00DE7DBE" w:rsidRDefault="00DE7DBE" w:rsidP="00130BD0">
      <w:pPr>
        <w:spacing w:after="120" w:line="240" w:lineRule="auto"/>
        <w:rPr>
          <w:rFonts w:ascii="Arial" w:hAnsi="Arial" w:cs="Arial"/>
          <w:b/>
          <w:i/>
          <w:color w:val="00B050"/>
          <w:sz w:val="28"/>
          <w:szCs w:val="28"/>
        </w:rPr>
      </w:pPr>
      <w:r w:rsidRPr="00DE7DBE">
        <w:rPr>
          <w:rFonts w:ascii="Arial" w:hAnsi="Arial" w:cs="Arial"/>
          <w:b/>
          <w:i/>
          <w:color w:val="00B050"/>
          <w:sz w:val="28"/>
          <w:szCs w:val="28"/>
        </w:rPr>
        <w:t>Altri</w:t>
      </w:r>
      <w:r w:rsidR="00DE58A0">
        <w:rPr>
          <w:rFonts w:ascii="Arial" w:hAnsi="Arial" w:cs="Arial"/>
          <w:b/>
          <w:i/>
          <w:color w:val="00B050"/>
          <w:sz w:val="28"/>
          <w:szCs w:val="28"/>
        </w:rPr>
        <w:t xml:space="preserve"> possibili</w:t>
      </w:r>
      <w:r w:rsidRPr="00DE7DBE">
        <w:rPr>
          <w:rFonts w:ascii="Arial" w:hAnsi="Arial" w:cs="Arial"/>
          <w:b/>
          <w:i/>
          <w:color w:val="00B050"/>
          <w:sz w:val="28"/>
          <w:szCs w:val="28"/>
        </w:rPr>
        <w:t xml:space="preserve"> </w:t>
      </w:r>
      <w:r w:rsidR="00DE58A0">
        <w:rPr>
          <w:rFonts w:ascii="Arial" w:hAnsi="Arial" w:cs="Arial"/>
          <w:b/>
          <w:i/>
          <w:color w:val="00B050"/>
          <w:sz w:val="28"/>
          <w:szCs w:val="28"/>
        </w:rPr>
        <w:t>i</w:t>
      </w:r>
      <w:r w:rsidR="00322A15" w:rsidRPr="00DE7DBE">
        <w:rPr>
          <w:rFonts w:ascii="Arial" w:hAnsi="Arial" w:cs="Arial"/>
          <w:b/>
          <w:i/>
          <w:color w:val="00B050"/>
          <w:sz w:val="28"/>
          <w:szCs w:val="28"/>
        </w:rPr>
        <w:t>nterventi</w:t>
      </w:r>
      <w:r w:rsidR="00B23B9D" w:rsidRPr="00DE7DBE">
        <w:rPr>
          <w:rFonts w:ascii="Arial" w:hAnsi="Arial" w:cs="Arial"/>
          <w:b/>
          <w:i/>
          <w:color w:val="00B050"/>
          <w:sz w:val="28"/>
          <w:szCs w:val="28"/>
        </w:rPr>
        <w:t>:</w:t>
      </w:r>
    </w:p>
    <w:p w14:paraId="27F75941" w14:textId="41D36299" w:rsidR="00B23B9D" w:rsidRDefault="00B23B9D" w:rsidP="00130BD0">
      <w:pPr>
        <w:pStyle w:val="Paragrafoelenco"/>
        <w:numPr>
          <w:ilvl w:val="0"/>
          <w:numId w:val="3"/>
        </w:numPr>
        <w:spacing w:after="0" w:line="240" w:lineRule="auto"/>
        <w:ind w:left="714" w:hanging="357"/>
        <w:contextualSpacing w:val="0"/>
        <w:jc w:val="both"/>
        <w:rPr>
          <w:rFonts w:ascii="Arial" w:hAnsi="Arial" w:cs="Arial"/>
          <w:sz w:val="24"/>
          <w:szCs w:val="24"/>
        </w:rPr>
      </w:pPr>
      <w:r w:rsidRPr="00B23B9D">
        <w:rPr>
          <w:rFonts w:ascii="Arial" w:hAnsi="Arial" w:cs="Arial"/>
          <w:sz w:val="24"/>
          <w:szCs w:val="24"/>
        </w:rPr>
        <w:t>Campagne informative</w:t>
      </w:r>
      <w:r w:rsidR="00DE7DBE">
        <w:rPr>
          <w:rFonts w:ascii="Arial" w:hAnsi="Arial" w:cs="Arial"/>
          <w:sz w:val="24"/>
          <w:szCs w:val="24"/>
        </w:rPr>
        <w:t xml:space="preserve"> e promozionali </w:t>
      </w:r>
      <w:r w:rsidRPr="00B23B9D">
        <w:rPr>
          <w:rFonts w:ascii="Arial" w:hAnsi="Arial" w:cs="Arial"/>
          <w:sz w:val="24"/>
          <w:szCs w:val="24"/>
        </w:rPr>
        <w:t>a favore di produzioni in crisi</w:t>
      </w:r>
    </w:p>
    <w:p w14:paraId="5727D0BA" w14:textId="657A5881" w:rsidR="00B23B9D" w:rsidRDefault="00B23B9D" w:rsidP="00130BD0">
      <w:pPr>
        <w:pStyle w:val="Paragrafoelenco"/>
        <w:numPr>
          <w:ilvl w:val="0"/>
          <w:numId w:val="3"/>
        </w:numPr>
        <w:spacing w:after="0" w:line="240" w:lineRule="auto"/>
        <w:ind w:left="714" w:hanging="357"/>
        <w:contextualSpacing w:val="0"/>
        <w:jc w:val="both"/>
        <w:rPr>
          <w:rFonts w:ascii="Arial" w:hAnsi="Arial" w:cs="Arial"/>
          <w:sz w:val="24"/>
          <w:szCs w:val="24"/>
        </w:rPr>
      </w:pPr>
      <w:r>
        <w:rPr>
          <w:rFonts w:ascii="Arial" w:hAnsi="Arial" w:cs="Arial"/>
          <w:sz w:val="24"/>
          <w:szCs w:val="24"/>
        </w:rPr>
        <w:t>Rifinanziamento Fondi settoriali ad hoc</w:t>
      </w:r>
    </w:p>
    <w:p w14:paraId="2D7F5FAA" w14:textId="21A22D4C" w:rsidR="00DE7DBE" w:rsidRDefault="00DE7DBE" w:rsidP="00130BD0">
      <w:pPr>
        <w:pStyle w:val="Paragrafoelenco"/>
        <w:numPr>
          <w:ilvl w:val="0"/>
          <w:numId w:val="3"/>
        </w:numPr>
        <w:spacing w:after="0" w:line="240" w:lineRule="auto"/>
        <w:ind w:left="714" w:hanging="357"/>
        <w:contextualSpacing w:val="0"/>
        <w:jc w:val="both"/>
        <w:rPr>
          <w:rFonts w:ascii="Arial" w:hAnsi="Arial" w:cs="Arial"/>
          <w:sz w:val="24"/>
          <w:szCs w:val="24"/>
        </w:rPr>
      </w:pPr>
      <w:r>
        <w:rPr>
          <w:rFonts w:ascii="Arial" w:hAnsi="Arial" w:cs="Arial"/>
          <w:sz w:val="24"/>
          <w:szCs w:val="24"/>
        </w:rPr>
        <w:t>Valorizzazione agricoltura di montagna e aree svantaggiate</w:t>
      </w:r>
    </w:p>
    <w:p w14:paraId="0A85CC69" w14:textId="65B08DAE" w:rsidR="00DE7DBE" w:rsidRDefault="00DE7DBE" w:rsidP="00130BD0">
      <w:pPr>
        <w:pStyle w:val="Paragrafoelenco"/>
        <w:numPr>
          <w:ilvl w:val="0"/>
          <w:numId w:val="3"/>
        </w:numPr>
        <w:spacing w:after="0" w:line="240" w:lineRule="auto"/>
        <w:ind w:left="714" w:hanging="357"/>
        <w:contextualSpacing w:val="0"/>
        <w:jc w:val="both"/>
        <w:rPr>
          <w:rFonts w:ascii="Arial" w:hAnsi="Arial" w:cs="Arial"/>
          <w:sz w:val="24"/>
          <w:szCs w:val="24"/>
        </w:rPr>
      </w:pPr>
      <w:r>
        <w:rPr>
          <w:rFonts w:ascii="Arial" w:hAnsi="Arial" w:cs="Arial"/>
          <w:sz w:val="24"/>
          <w:szCs w:val="24"/>
        </w:rPr>
        <w:t>Interventi a favore di giovani agricoltori</w:t>
      </w:r>
    </w:p>
    <w:p w14:paraId="49FF8ED8" w14:textId="41383A95" w:rsidR="00DE7DBE" w:rsidRDefault="00DE7DBE" w:rsidP="00130BD0">
      <w:pPr>
        <w:pStyle w:val="Paragrafoelenco"/>
        <w:numPr>
          <w:ilvl w:val="0"/>
          <w:numId w:val="3"/>
        </w:numPr>
        <w:spacing w:after="0" w:line="240" w:lineRule="auto"/>
        <w:ind w:left="714" w:hanging="357"/>
        <w:contextualSpacing w:val="0"/>
        <w:jc w:val="both"/>
        <w:rPr>
          <w:rFonts w:ascii="Arial" w:hAnsi="Arial" w:cs="Arial"/>
          <w:sz w:val="24"/>
          <w:szCs w:val="24"/>
        </w:rPr>
      </w:pPr>
      <w:r>
        <w:rPr>
          <w:rFonts w:ascii="Arial" w:hAnsi="Arial" w:cs="Arial"/>
          <w:sz w:val="24"/>
          <w:szCs w:val="24"/>
        </w:rPr>
        <w:t>Interventi a favore dei pensionati agricoli</w:t>
      </w:r>
    </w:p>
    <w:p w14:paraId="6C17BEDF" w14:textId="252C2EF6" w:rsidR="00F02173" w:rsidRDefault="003C2B07" w:rsidP="003C2B07">
      <w:pPr>
        <w:pStyle w:val="Paragrafoelenco"/>
        <w:numPr>
          <w:ilvl w:val="0"/>
          <w:numId w:val="3"/>
        </w:numPr>
        <w:spacing w:after="0" w:line="240" w:lineRule="auto"/>
        <w:ind w:left="714" w:hanging="357"/>
        <w:contextualSpacing w:val="0"/>
        <w:jc w:val="both"/>
        <w:rPr>
          <w:rFonts w:ascii="Arial" w:hAnsi="Arial" w:cs="Arial"/>
          <w:sz w:val="24"/>
          <w:szCs w:val="24"/>
        </w:rPr>
      </w:pPr>
      <w:r>
        <w:rPr>
          <w:rFonts w:ascii="Arial" w:hAnsi="Arial" w:cs="Arial"/>
          <w:sz w:val="24"/>
          <w:szCs w:val="24"/>
        </w:rPr>
        <w:t>Lavoro agricolo</w:t>
      </w:r>
    </w:p>
    <w:p w14:paraId="66025903" w14:textId="77777777" w:rsidR="00130BD0" w:rsidRDefault="00F02173" w:rsidP="00130BD0">
      <w:pPr>
        <w:pBdr>
          <w:top w:val="single" w:sz="12" w:space="1" w:color="00B050"/>
          <w:left w:val="single" w:sz="12" w:space="4" w:color="00B050"/>
          <w:bottom w:val="single" w:sz="12" w:space="1" w:color="00B050"/>
          <w:right w:val="single" w:sz="12" w:space="4" w:color="00B050"/>
        </w:pBdr>
        <w:spacing w:after="0"/>
        <w:jc w:val="center"/>
        <w:rPr>
          <w:b/>
          <w:color w:val="00B050"/>
          <w:sz w:val="36"/>
          <w:szCs w:val="36"/>
        </w:rPr>
      </w:pPr>
      <w:r>
        <w:rPr>
          <w:rFonts w:ascii="Arial" w:hAnsi="Arial" w:cs="Arial"/>
          <w:sz w:val="24"/>
          <w:szCs w:val="24"/>
        </w:rPr>
        <w:br w:type="page"/>
      </w:r>
      <w:r w:rsidR="00835905">
        <w:rPr>
          <w:b/>
          <w:color w:val="00B050"/>
          <w:sz w:val="36"/>
          <w:szCs w:val="36"/>
        </w:rPr>
        <w:lastRenderedPageBreak/>
        <w:t xml:space="preserve">PRINCIPALI </w:t>
      </w:r>
      <w:r w:rsidRPr="00835905">
        <w:rPr>
          <w:b/>
          <w:color w:val="00B050"/>
          <w:sz w:val="36"/>
          <w:szCs w:val="36"/>
        </w:rPr>
        <w:t xml:space="preserve">RISULTATI </w:t>
      </w:r>
    </w:p>
    <w:p w14:paraId="031DA66E" w14:textId="77777777" w:rsidR="00F02173" w:rsidRPr="003F507A" w:rsidRDefault="0014380A" w:rsidP="00130BD0">
      <w:pPr>
        <w:pBdr>
          <w:top w:val="single" w:sz="12" w:space="1" w:color="00B050"/>
          <w:left w:val="single" w:sz="12" w:space="4" w:color="00B050"/>
          <w:bottom w:val="single" w:sz="12" w:space="1" w:color="00B050"/>
          <w:right w:val="single" w:sz="12" w:space="4" w:color="00B050"/>
        </w:pBdr>
        <w:spacing w:after="0"/>
        <w:jc w:val="center"/>
        <w:rPr>
          <w:b/>
          <w:color w:val="00B050"/>
          <w:sz w:val="36"/>
          <w:szCs w:val="36"/>
        </w:rPr>
      </w:pPr>
      <w:r w:rsidRPr="00130BD0">
        <w:rPr>
          <w:b/>
          <w:color w:val="00B050"/>
          <w:sz w:val="36"/>
          <w:szCs w:val="36"/>
        </w:rPr>
        <w:t>LEGGE</w:t>
      </w:r>
      <w:r w:rsidR="003F507A" w:rsidRPr="00130BD0">
        <w:rPr>
          <w:b/>
          <w:color w:val="00B050"/>
          <w:sz w:val="36"/>
          <w:szCs w:val="36"/>
        </w:rPr>
        <w:t xml:space="preserve"> DI BILANCIO</w:t>
      </w:r>
    </w:p>
    <w:p w14:paraId="23867160" w14:textId="77777777" w:rsidR="00835905" w:rsidRDefault="00835905" w:rsidP="00F02173">
      <w:pPr>
        <w:spacing w:after="0" w:line="240" w:lineRule="auto"/>
        <w:jc w:val="both"/>
        <w:rPr>
          <w:rFonts w:ascii="Arial" w:hAnsi="Arial" w:cs="Arial"/>
          <w:sz w:val="24"/>
          <w:szCs w:val="24"/>
        </w:rPr>
      </w:pPr>
    </w:p>
    <w:p w14:paraId="77B8382E" w14:textId="77777777" w:rsidR="00835905" w:rsidRPr="003F507A" w:rsidRDefault="005066E0" w:rsidP="003F507A">
      <w:pPr>
        <w:spacing w:after="0" w:line="240" w:lineRule="auto"/>
        <w:jc w:val="center"/>
        <w:rPr>
          <w:rFonts w:ascii="Arial" w:hAnsi="Arial" w:cs="Arial"/>
          <w:b/>
          <w:i/>
          <w:sz w:val="24"/>
          <w:szCs w:val="24"/>
        </w:rPr>
      </w:pPr>
      <w:r w:rsidRPr="003F507A">
        <w:rPr>
          <w:rFonts w:ascii="Arial" w:hAnsi="Arial" w:cs="Arial"/>
          <w:b/>
          <w:i/>
          <w:sz w:val="24"/>
          <w:szCs w:val="24"/>
        </w:rPr>
        <w:t>INNOVAZIONE E AGRICOLTURA</w:t>
      </w:r>
    </w:p>
    <w:p w14:paraId="7150386A" w14:textId="77777777" w:rsidR="005066E0" w:rsidRPr="003F507A" w:rsidRDefault="005066E0" w:rsidP="005066E0">
      <w:pPr>
        <w:pStyle w:val="Default"/>
        <w:jc w:val="both"/>
        <w:rPr>
          <w:rFonts w:ascii="Tahoma" w:hAnsi="Tahoma" w:cs="Tahoma"/>
          <w:bCs/>
        </w:rPr>
      </w:pPr>
    </w:p>
    <w:p w14:paraId="2D913684" w14:textId="77777777" w:rsidR="00353CB0" w:rsidRPr="003F507A" w:rsidRDefault="00353CB0" w:rsidP="0085636C">
      <w:pPr>
        <w:pStyle w:val="Default"/>
        <w:spacing w:after="120"/>
        <w:jc w:val="both"/>
        <w:rPr>
          <w:rFonts w:ascii="Arial" w:hAnsi="Arial" w:cs="Arial"/>
          <w:bCs/>
        </w:rPr>
      </w:pPr>
      <w:r w:rsidRPr="003F507A">
        <w:rPr>
          <w:rFonts w:ascii="Arial" w:hAnsi="Arial" w:cs="Arial"/>
          <w:bCs/>
        </w:rPr>
        <w:t xml:space="preserve">Nel corso della prima lettura in Senato </w:t>
      </w:r>
      <w:r w:rsidR="00130BD0">
        <w:rPr>
          <w:rFonts w:ascii="Arial" w:hAnsi="Arial" w:cs="Arial"/>
          <w:bCs/>
        </w:rPr>
        <w:t xml:space="preserve">sul </w:t>
      </w:r>
      <w:r w:rsidR="00EC3B3E" w:rsidRPr="003F507A">
        <w:rPr>
          <w:rFonts w:ascii="Arial" w:hAnsi="Arial" w:cs="Arial"/>
        </w:rPr>
        <w:t>disegno di legge recante il Bilancio di previsione dello Stato per l'anno finanziario 2020 e bilancio pluriennale per il triennio 2020-2022</w:t>
      </w:r>
      <w:r w:rsidRPr="003F507A">
        <w:rPr>
          <w:rFonts w:ascii="Arial" w:hAnsi="Arial" w:cs="Arial"/>
          <w:bCs/>
        </w:rPr>
        <w:t xml:space="preserve">, sono stati approvati tre emendamenti che vanno nella direzione di estendere, anche alle imprese agricole che determinano il reddito su base catastale, le opportunità derivanti dal sistema di incentivi Impresa 4.0. </w:t>
      </w:r>
    </w:p>
    <w:p w14:paraId="36E5311B" w14:textId="77777777" w:rsidR="00353CB0" w:rsidRPr="003F507A" w:rsidRDefault="00353CB0" w:rsidP="0085636C">
      <w:pPr>
        <w:pStyle w:val="Default"/>
        <w:numPr>
          <w:ilvl w:val="0"/>
          <w:numId w:val="4"/>
        </w:numPr>
        <w:spacing w:after="120"/>
        <w:jc w:val="both"/>
        <w:rPr>
          <w:rFonts w:ascii="Arial" w:hAnsi="Arial" w:cs="Arial"/>
          <w:bCs/>
          <w:i/>
        </w:rPr>
      </w:pPr>
      <w:r w:rsidRPr="003F507A">
        <w:rPr>
          <w:rFonts w:ascii="Arial" w:hAnsi="Arial" w:cs="Arial"/>
          <w:bCs/>
        </w:rPr>
        <w:t xml:space="preserve">Con il primo emendamento, andando a ridefinire la disciplina degli incentivi fiscali previsti dal Piano Impresa 4.0. è stato introdotto lo strumento del credito d’imposta autorizzandone l’accesso a tutte le imprese italiane </w:t>
      </w:r>
      <w:r w:rsidRPr="003F507A">
        <w:rPr>
          <w:rFonts w:ascii="Arial" w:hAnsi="Arial" w:cs="Arial"/>
          <w:bCs/>
          <w:i/>
        </w:rPr>
        <w:t>“indipendentemente dalla forma giuridica, dal settore economico di appartenenza, dalla dimensione e dal regime fiscale di determinazione del reddito”.</w:t>
      </w:r>
    </w:p>
    <w:p w14:paraId="1199B9C5" w14:textId="2B125C20" w:rsidR="00F27F01" w:rsidRPr="003F507A" w:rsidRDefault="00F27F01" w:rsidP="00F27F01">
      <w:pPr>
        <w:pStyle w:val="Default"/>
        <w:ind w:left="720"/>
        <w:jc w:val="both"/>
        <w:rPr>
          <w:rFonts w:ascii="Arial" w:hAnsi="Arial" w:cs="Arial"/>
          <w:bCs/>
          <w:u w:val="single"/>
        </w:rPr>
      </w:pPr>
      <w:r w:rsidRPr="003F507A">
        <w:rPr>
          <w:rFonts w:ascii="Arial" w:hAnsi="Arial" w:cs="Arial"/>
          <w:bCs/>
          <w:u w:val="single"/>
        </w:rPr>
        <w:t>RIFERIMENTI</w:t>
      </w:r>
      <w:r w:rsidR="001473E6">
        <w:rPr>
          <w:rStyle w:val="Rimandonotaapidipagina"/>
          <w:rFonts w:ascii="Arial" w:hAnsi="Arial" w:cs="Arial"/>
          <w:bCs/>
          <w:u w:val="single"/>
        </w:rPr>
        <w:footnoteReference w:id="1"/>
      </w:r>
      <w:r w:rsidRPr="003F507A">
        <w:rPr>
          <w:rFonts w:ascii="Arial" w:hAnsi="Arial" w:cs="Arial"/>
          <w:bCs/>
          <w:u w:val="single"/>
        </w:rPr>
        <w:t>: ART 1, COMMI 200 E SEGUENTI</w:t>
      </w:r>
    </w:p>
    <w:p w14:paraId="51786FB1" w14:textId="77777777" w:rsidR="00F27F01" w:rsidRPr="003F507A" w:rsidRDefault="00F27F01" w:rsidP="00F27F01">
      <w:pPr>
        <w:pStyle w:val="Default"/>
        <w:ind w:left="720"/>
        <w:jc w:val="both"/>
        <w:rPr>
          <w:rFonts w:ascii="Arial" w:hAnsi="Arial" w:cs="Arial"/>
          <w:bCs/>
        </w:rPr>
      </w:pPr>
    </w:p>
    <w:p w14:paraId="1461AAD3" w14:textId="7A64F969" w:rsidR="00353CB0" w:rsidRPr="003F507A" w:rsidRDefault="00353CB0" w:rsidP="00F27F01">
      <w:pPr>
        <w:pStyle w:val="Default"/>
        <w:numPr>
          <w:ilvl w:val="0"/>
          <w:numId w:val="4"/>
        </w:numPr>
        <w:jc w:val="both"/>
        <w:rPr>
          <w:rFonts w:ascii="Arial" w:hAnsi="Arial" w:cs="Arial"/>
          <w:bCs/>
        </w:rPr>
      </w:pPr>
      <w:r w:rsidRPr="003F507A">
        <w:rPr>
          <w:rFonts w:ascii="Arial" w:hAnsi="Arial" w:cs="Arial"/>
          <w:bCs/>
        </w:rPr>
        <w:t>Il secondo emendamento</w:t>
      </w:r>
      <w:r w:rsidR="00C6303B">
        <w:rPr>
          <w:rFonts w:ascii="Arial" w:hAnsi="Arial" w:cs="Arial"/>
          <w:bCs/>
        </w:rPr>
        <w:t>,</w:t>
      </w:r>
      <w:r w:rsidRPr="003F507A">
        <w:rPr>
          <w:rFonts w:ascii="Arial" w:hAnsi="Arial" w:cs="Arial"/>
          <w:bCs/>
        </w:rPr>
        <w:t xml:space="preserve"> approvato in Commissione Bilancio, ha previsto l’istituzione di un Fondo </w:t>
      </w:r>
      <w:r w:rsidRPr="00C6303B">
        <w:rPr>
          <w:rFonts w:ascii="Arial" w:hAnsi="Arial" w:cs="Arial"/>
          <w:bCs/>
          <w:i/>
          <w:iCs/>
        </w:rPr>
        <w:t>ad hoc</w:t>
      </w:r>
      <w:r w:rsidR="00F27F01" w:rsidRPr="003F507A">
        <w:rPr>
          <w:rFonts w:ascii="Arial" w:hAnsi="Arial" w:cs="Arial"/>
          <w:bCs/>
        </w:rPr>
        <w:t>, con una dotazione pari a 5 milioni di euro per l’anno 2020, da utilizzare</w:t>
      </w:r>
      <w:r w:rsidRPr="003F507A">
        <w:rPr>
          <w:rFonts w:ascii="Arial" w:hAnsi="Arial" w:cs="Arial"/>
          <w:bCs/>
        </w:rPr>
        <w:t xml:space="preserve"> </w:t>
      </w:r>
      <w:r w:rsidR="00F27F01" w:rsidRPr="003F507A">
        <w:rPr>
          <w:rFonts w:ascii="Arial" w:hAnsi="Arial" w:cs="Arial"/>
          <w:bCs/>
        </w:rPr>
        <w:t>per gli investimenti innovativi “</w:t>
      </w:r>
      <w:r w:rsidR="00F27F01" w:rsidRPr="003F507A">
        <w:rPr>
          <w:rFonts w:ascii="Arial" w:hAnsi="Arial" w:cs="Arial"/>
          <w:bCs/>
          <w:i/>
        </w:rPr>
        <w:t>in beni materiali strumentali nuovi da parte delle imprese agricole che determinano il reddito agrario ai sensi dell'articolo 32 del decreto del Presidente della Repubblica 22 dicembre 1986, n. 917”</w:t>
      </w:r>
      <w:r w:rsidRPr="003F507A">
        <w:rPr>
          <w:rFonts w:ascii="Arial" w:hAnsi="Arial" w:cs="Arial"/>
          <w:bCs/>
        </w:rPr>
        <w:t xml:space="preserve"> </w:t>
      </w:r>
      <w:r w:rsidR="00F27F01" w:rsidRPr="003F507A">
        <w:rPr>
          <w:rFonts w:ascii="Arial" w:hAnsi="Arial" w:cs="Arial"/>
          <w:bCs/>
        </w:rPr>
        <w:t>.</w:t>
      </w:r>
    </w:p>
    <w:p w14:paraId="01E32C1C" w14:textId="0EC11D6B" w:rsidR="00F27F01" w:rsidRPr="003F507A" w:rsidRDefault="00F27F01" w:rsidP="00F27F01">
      <w:pPr>
        <w:pStyle w:val="Default"/>
        <w:ind w:left="720"/>
        <w:jc w:val="both"/>
        <w:rPr>
          <w:rFonts w:ascii="Arial" w:hAnsi="Arial" w:cs="Arial"/>
          <w:bCs/>
          <w:u w:val="single"/>
        </w:rPr>
      </w:pPr>
      <w:r w:rsidRPr="003F507A">
        <w:rPr>
          <w:rFonts w:ascii="Arial" w:hAnsi="Arial" w:cs="Arial"/>
          <w:bCs/>
          <w:u w:val="single"/>
        </w:rPr>
        <w:t>RIFERIMENTI: ART 1, COMMA 127</w:t>
      </w:r>
    </w:p>
    <w:p w14:paraId="031FDE48" w14:textId="77777777" w:rsidR="00F27F01" w:rsidRPr="003F507A" w:rsidRDefault="00F27F01" w:rsidP="00F27F01">
      <w:pPr>
        <w:pStyle w:val="Default"/>
        <w:ind w:left="720"/>
        <w:jc w:val="both"/>
        <w:rPr>
          <w:rFonts w:ascii="Arial" w:hAnsi="Arial" w:cs="Arial"/>
          <w:bCs/>
        </w:rPr>
      </w:pPr>
    </w:p>
    <w:p w14:paraId="789F14CC" w14:textId="67D6CE4B" w:rsidR="00F27F01" w:rsidRPr="003F507A" w:rsidRDefault="00F27F01" w:rsidP="00F27F01">
      <w:pPr>
        <w:pStyle w:val="Default"/>
        <w:numPr>
          <w:ilvl w:val="0"/>
          <w:numId w:val="4"/>
        </w:numPr>
        <w:jc w:val="both"/>
        <w:rPr>
          <w:rFonts w:ascii="Arial" w:hAnsi="Arial" w:cs="Arial"/>
          <w:bCs/>
          <w:i/>
        </w:rPr>
      </w:pPr>
      <w:r w:rsidRPr="003F507A">
        <w:rPr>
          <w:rFonts w:ascii="Arial" w:hAnsi="Arial" w:cs="Arial"/>
          <w:bCs/>
        </w:rPr>
        <w:t xml:space="preserve">Il terzo articolo approvato, </w:t>
      </w:r>
      <w:r w:rsidRPr="00C6303B">
        <w:rPr>
          <w:rFonts w:ascii="Arial" w:hAnsi="Arial" w:cs="Arial"/>
          <w:bCs/>
          <w:iCs/>
        </w:rPr>
        <w:t>in</w:t>
      </w:r>
      <w:r w:rsidRPr="003F507A">
        <w:rPr>
          <w:rFonts w:ascii="Arial" w:hAnsi="Arial" w:cs="Arial"/>
          <w:bCs/>
        </w:rPr>
        <w:t>fine, ha introdotto per le imprese agricole</w:t>
      </w:r>
      <w:r w:rsidRPr="003F507A">
        <w:rPr>
          <w:rFonts w:ascii="Arial" w:hAnsi="Arial" w:cs="Arial"/>
          <w:bCs/>
          <w:i/>
        </w:rPr>
        <w:t xml:space="preserve"> “un contributo a fondo perduto fino al 35 per cento della spesa ammissibile e mutui agevolati di importo non superiore al 60 per cento della spesa ammissibile per il finanziamento di iniziative finalizzate allo sviluppo di processi produttivi innovativi e dell'agricoltura d</w:t>
      </w:r>
      <w:r w:rsidR="00C6303B">
        <w:rPr>
          <w:rFonts w:ascii="Arial" w:hAnsi="Arial" w:cs="Arial"/>
          <w:bCs/>
          <w:i/>
        </w:rPr>
        <w:t>i</w:t>
      </w:r>
      <w:r w:rsidRPr="003F507A">
        <w:rPr>
          <w:rFonts w:ascii="Arial" w:hAnsi="Arial" w:cs="Arial"/>
          <w:bCs/>
          <w:i/>
        </w:rPr>
        <w:t xml:space="preserve"> precisione…” </w:t>
      </w:r>
      <w:r w:rsidR="00B96204">
        <w:rPr>
          <w:rFonts w:ascii="Arial" w:hAnsi="Arial" w:cs="Arial"/>
          <w:bCs/>
        </w:rPr>
        <w:t xml:space="preserve">. La dotazione finanziaria prevista per l’incentivo è fissata nel limite massimo di 1 milione di euro per l’anno 2020. </w:t>
      </w:r>
    </w:p>
    <w:p w14:paraId="09EDC022" w14:textId="2192577B" w:rsidR="00F27F01" w:rsidRPr="003F507A" w:rsidRDefault="00F27F01" w:rsidP="00F27F01">
      <w:pPr>
        <w:pStyle w:val="Default"/>
        <w:ind w:left="720"/>
        <w:jc w:val="both"/>
        <w:rPr>
          <w:rFonts w:ascii="Arial" w:hAnsi="Arial" w:cs="Arial"/>
          <w:bCs/>
          <w:u w:val="single"/>
        </w:rPr>
      </w:pPr>
      <w:r w:rsidRPr="003F507A">
        <w:rPr>
          <w:rFonts w:ascii="Arial" w:hAnsi="Arial" w:cs="Arial"/>
          <w:bCs/>
          <w:u w:val="single"/>
        </w:rPr>
        <w:t>RIFERIMENTI: ART 1, COMM</w:t>
      </w:r>
      <w:r w:rsidR="001473E6">
        <w:rPr>
          <w:rFonts w:ascii="Arial" w:hAnsi="Arial" w:cs="Arial"/>
          <w:bCs/>
          <w:u w:val="single"/>
        </w:rPr>
        <w:t>I</w:t>
      </w:r>
      <w:r w:rsidRPr="003F507A">
        <w:rPr>
          <w:rFonts w:ascii="Arial" w:hAnsi="Arial" w:cs="Arial"/>
          <w:bCs/>
          <w:u w:val="single"/>
        </w:rPr>
        <w:t xml:space="preserve"> 583</w:t>
      </w:r>
      <w:r w:rsidR="001473E6">
        <w:rPr>
          <w:rFonts w:ascii="Arial" w:hAnsi="Arial" w:cs="Arial"/>
          <w:bCs/>
          <w:u w:val="single"/>
        </w:rPr>
        <w:t>-584</w:t>
      </w:r>
    </w:p>
    <w:p w14:paraId="00F08517" w14:textId="77777777" w:rsidR="00353CB0" w:rsidRPr="003F507A" w:rsidRDefault="00353CB0" w:rsidP="005066E0">
      <w:pPr>
        <w:pStyle w:val="Default"/>
        <w:jc w:val="both"/>
        <w:rPr>
          <w:rFonts w:ascii="Tahoma" w:hAnsi="Tahoma" w:cs="Tahoma"/>
          <w:bCs/>
        </w:rPr>
      </w:pPr>
      <w:r w:rsidRPr="003F507A">
        <w:rPr>
          <w:rFonts w:ascii="Tahoma" w:hAnsi="Tahoma" w:cs="Tahoma"/>
          <w:bCs/>
        </w:rPr>
        <w:t xml:space="preserve">      </w:t>
      </w:r>
    </w:p>
    <w:p w14:paraId="262E6154" w14:textId="77777777" w:rsidR="00AC24B5" w:rsidRPr="003F507A" w:rsidRDefault="00AC24B5" w:rsidP="00F02173">
      <w:pPr>
        <w:spacing w:after="0" w:line="240" w:lineRule="auto"/>
        <w:jc w:val="both"/>
        <w:rPr>
          <w:rFonts w:ascii="Arial" w:hAnsi="Arial" w:cs="Arial"/>
          <w:sz w:val="24"/>
          <w:szCs w:val="24"/>
        </w:rPr>
      </w:pPr>
    </w:p>
    <w:p w14:paraId="5C58A02B" w14:textId="77777777" w:rsidR="00AC24B5" w:rsidRDefault="00AC24B5" w:rsidP="003F507A">
      <w:pPr>
        <w:spacing w:after="0" w:line="240" w:lineRule="auto"/>
        <w:jc w:val="center"/>
        <w:rPr>
          <w:rFonts w:ascii="Arial" w:hAnsi="Arial" w:cs="Arial"/>
          <w:b/>
          <w:i/>
          <w:sz w:val="24"/>
          <w:szCs w:val="24"/>
        </w:rPr>
      </w:pPr>
      <w:r w:rsidRPr="003F507A">
        <w:rPr>
          <w:rFonts w:ascii="Arial" w:hAnsi="Arial" w:cs="Arial"/>
          <w:b/>
          <w:i/>
          <w:sz w:val="24"/>
          <w:szCs w:val="24"/>
        </w:rPr>
        <w:t>SGRAVI FISCALI E CONTRIBUTIVI</w:t>
      </w:r>
    </w:p>
    <w:p w14:paraId="4F056FFE" w14:textId="77777777" w:rsidR="003F507A" w:rsidRPr="003F507A" w:rsidRDefault="003F507A" w:rsidP="003F507A">
      <w:pPr>
        <w:spacing w:after="0" w:line="240" w:lineRule="auto"/>
        <w:jc w:val="center"/>
        <w:rPr>
          <w:rFonts w:ascii="Arial" w:hAnsi="Arial" w:cs="Arial"/>
          <w:b/>
          <w:i/>
          <w:sz w:val="24"/>
          <w:szCs w:val="24"/>
        </w:rPr>
      </w:pPr>
    </w:p>
    <w:p w14:paraId="1EA647AE" w14:textId="565152A7" w:rsidR="00AC24B5" w:rsidRPr="003F507A" w:rsidRDefault="00AC24B5" w:rsidP="00AC24B5">
      <w:pPr>
        <w:pStyle w:val="Default"/>
        <w:numPr>
          <w:ilvl w:val="0"/>
          <w:numId w:val="4"/>
        </w:numPr>
        <w:jc w:val="both"/>
        <w:rPr>
          <w:rFonts w:ascii="Arial" w:hAnsi="Arial" w:cs="Arial"/>
        </w:rPr>
      </w:pPr>
      <w:r w:rsidRPr="003F507A">
        <w:rPr>
          <w:rFonts w:ascii="Arial" w:hAnsi="Arial" w:cs="Arial"/>
        </w:rPr>
        <w:t xml:space="preserve">Così come auspicato dalla CIA-Agricoltori italiani, </w:t>
      </w:r>
      <w:r w:rsidR="00C6303B">
        <w:rPr>
          <w:rFonts w:ascii="Arial" w:hAnsi="Arial" w:cs="Arial"/>
        </w:rPr>
        <w:t>i</w:t>
      </w:r>
      <w:r w:rsidRPr="003F507A">
        <w:rPr>
          <w:rFonts w:ascii="Arial" w:hAnsi="Arial" w:cs="Arial"/>
        </w:rPr>
        <w:t xml:space="preserve">l disegno di legge recante il Bilancio di previsione dello Stato per l'anno finanziario 2020 e bilancio pluriennale per il triennio 2020-2022 ha incluso, sin dalla sua versione originale e per </w:t>
      </w:r>
      <w:r w:rsidR="001473E6">
        <w:rPr>
          <w:rFonts w:ascii="Arial" w:hAnsi="Arial" w:cs="Arial"/>
        </w:rPr>
        <w:t xml:space="preserve">gli </w:t>
      </w:r>
      <w:r w:rsidRPr="003F507A">
        <w:rPr>
          <w:rFonts w:ascii="Arial" w:hAnsi="Arial" w:cs="Arial"/>
        </w:rPr>
        <w:t>ann</w:t>
      </w:r>
      <w:r w:rsidR="001473E6">
        <w:rPr>
          <w:rFonts w:ascii="Arial" w:hAnsi="Arial" w:cs="Arial"/>
        </w:rPr>
        <w:t>i</w:t>
      </w:r>
      <w:r w:rsidRPr="003F507A">
        <w:rPr>
          <w:rFonts w:ascii="Arial" w:hAnsi="Arial" w:cs="Arial"/>
        </w:rPr>
        <w:t xml:space="preserve"> 2020</w:t>
      </w:r>
      <w:r w:rsidR="001473E6">
        <w:rPr>
          <w:rFonts w:ascii="Arial" w:hAnsi="Arial" w:cs="Arial"/>
        </w:rPr>
        <w:t xml:space="preserve"> e 2021</w:t>
      </w:r>
      <w:r w:rsidRPr="003F507A">
        <w:rPr>
          <w:rFonts w:ascii="Arial" w:hAnsi="Arial" w:cs="Arial"/>
        </w:rPr>
        <w:t xml:space="preserve">, </w:t>
      </w:r>
      <w:r w:rsidRPr="003F507A">
        <w:rPr>
          <w:rFonts w:ascii="Arial" w:hAnsi="Arial" w:cs="Arial"/>
          <w:u w:val="single"/>
        </w:rPr>
        <w:t>l’esenzione IRPEF</w:t>
      </w:r>
      <w:r w:rsidRPr="003F507A">
        <w:rPr>
          <w:rFonts w:ascii="Arial" w:hAnsi="Arial" w:cs="Arial"/>
        </w:rPr>
        <w:t xml:space="preserve"> per i redditi dominicali e agrari dei coltivatori diretti e degli imprenditori agricoli professionali.</w:t>
      </w:r>
      <w:r w:rsidR="001473E6">
        <w:rPr>
          <w:rFonts w:ascii="Arial" w:hAnsi="Arial" w:cs="Arial"/>
        </w:rPr>
        <w:t xml:space="preserve"> Le percentuali di esenzione sono fissate al 110% per l’anno 2020 e al 50% per il successivo anno (2021).</w:t>
      </w:r>
    </w:p>
    <w:p w14:paraId="6C18A0F8" w14:textId="77777777" w:rsidR="00AC24B5" w:rsidRPr="003F507A" w:rsidRDefault="00AC24B5" w:rsidP="00AC24B5">
      <w:pPr>
        <w:pStyle w:val="Default"/>
        <w:ind w:left="720"/>
        <w:jc w:val="both"/>
        <w:rPr>
          <w:rFonts w:ascii="Arial" w:hAnsi="Arial" w:cs="Arial"/>
        </w:rPr>
      </w:pPr>
      <w:r w:rsidRPr="003F507A">
        <w:rPr>
          <w:rFonts w:ascii="Arial" w:hAnsi="Arial" w:cs="Arial"/>
          <w:bCs/>
          <w:u w:val="single"/>
        </w:rPr>
        <w:t>RIFERIMENTI: ART 1, COMMA 199</w:t>
      </w:r>
    </w:p>
    <w:p w14:paraId="07E4443B" w14:textId="77777777" w:rsidR="00AC24B5" w:rsidRPr="003F507A" w:rsidRDefault="00AC24B5" w:rsidP="00AC24B5">
      <w:pPr>
        <w:pStyle w:val="Default"/>
        <w:rPr>
          <w:rFonts w:ascii="Arial" w:hAnsi="Arial" w:cs="Arial"/>
          <w:bCs/>
          <w:u w:val="single"/>
        </w:rPr>
      </w:pPr>
    </w:p>
    <w:p w14:paraId="5B1A41E8" w14:textId="08DCC3C3" w:rsidR="00AC24B5" w:rsidRPr="003F507A" w:rsidRDefault="00AC24B5" w:rsidP="00AC24B5">
      <w:pPr>
        <w:pStyle w:val="Default"/>
        <w:numPr>
          <w:ilvl w:val="0"/>
          <w:numId w:val="4"/>
        </w:numPr>
        <w:jc w:val="both"/>
        <w:rPr>
          <w:rFonts w:ascii="Arial" w:hAnsi="Arial" w:cs="Arial"/>
          <w:i/>
        </w:rPr>
      </w:pPr>
      <w:r w:rsidRPr="003F507A">
        <w:rPr>
          <w:rFonts w:ascii="Arial" w:hAnsi="Arial" w:cs="Arial"/>
        </w:rPr>
        <w:t xml:space="preserve">Sempre sul fronte degli sgravi fiscali e contributivi la legge di Bilancio, recependo parte della proposta avanzata dalla CIA-Agricoltori italiani, ha riconosciuto agli agricoltori con età inferiore a quarant'anni, </w:t>
      </w:r>
      <w:r w:rsidRPr="003F507A">
        <w:rPr>
          <w:rFonts w:ascii="Arial" w:hAnsi="Arial" w:cs="Arial"/>
          <w:i/>
        </w:rPr>
        <w:t>“</w:t>
      </w:r>
      <w:r w:rsidRPr="003F507A">
        <w:rPr>
          <w:rFonts w:ascii="Arial" w:hAnsi="Arial" w:cs="Arial"/>
          <w:i/>
          <w:u w:val="single"/>
        </w:rPr>
        <w:t>l'esonero dal versamento del 100 per cento dell'accredito contributivo</w:t>
      </w:r>
      <w:r w:rsidR="00C6303B">
        <w:rPr>
          <w:rFonts w:ascii="Arial" w:hAnsi="Arial" w:cs="Arial"/>
          <w:i/>
        </w:rPr>
        <w:t>,</w:t>
      </w:r>
      <w:r w:rsidRPr="00C6303B">
        <w:rPr>
          <w:rFonts w:ascii="Arial" w:hAnsi="Arial" w:cs="Arial"/>
          <w:i/>
        </w:rPr>
        <w:t xml:space="preserve"> </w:t>
      </w:r>
      <w:r w:rsidRPr="003F507A">
        <w:rPr>
          <w:rFonts w:ascii="Arial" w:hAnsi="Arial" w:cs="Arial"/>
          <w:i/>
        </w:rPr>
        <w:t>presso l'assicurazione generale obbligatoria per l'invalidità, la vecchiaia ed i superstiti</w:t>
      </w:r>
      <w:r w:rsidRPr="003F507A">
        <w:rPr>
          <w:rFonts w:ascii="Arial" w:hAnsi="Arial" w:cs="Arial"/>
        </w:rPr>
        <w:t>. Tale esonero, sarà applicato “</w:t>
      </w:r>
      <w:r w:rsidRPr="003F507A">
        <w:rPr>
          <w:rFonts w:ascii="Arial" w:hAnsi="Arial" w:cs="Arial"/>
          <w:i/>
        </w:rPr>
        <w:t>alle nuove iscrizioni nella previdenza agricola effettuate tra il 1° gennaio 2020 e il 31 dicembre 2020”.</w:t>
      </w:r>
    </w:p>
    <w:p w14:paraId="195F3D25" w14:textId="77777777" w:rsidR="00AC24B5" w:rsidRPr="003F507A" w:rsidRDefault="00AC24B5" w:rsidP="00AC24B5">
      <w:pPr>
        <w:pStyle w:val="Default"/>
        <w:ind w:left="720"/>
        <w:jc w:val="both"/>
        <w:rPr>
          <w:rFonts w:ascii="Arial" w:hAnsi="Arial" w:cs="Arial"/>
          <w:i/>
        </w:rPr>
      </w:pPr>
      <w:r w:rsidRPr="003F507A">
        <w:rPr>
          <w:rFonts w:ascii="Arial" w:hAnsi="Arial" w:cs="Arial"/>
          <w:bCs/>
          <w:u w:val="single"/>
        </w:rPr>
        <w:t>RIFERIMENTI: ART 1, COMMA 566</w:t>
      </w:r>
      <w:r w:rsidRPr="003F507A">
        <w:rPr>
          <w:rFonts w:ascii="Arial" w:hAnsi="Arial" w:cs="Arial"/>
        </w:rPr>
        <w:t xml:space="preserve">  </w:t>
      </w:r>
    </w:p>
    <w:p w14:paraId="75B98270" w14:textId="77777777" w:rsidR="00AC24B5" w:rsidRPr="003F507A" w:rsidRDefault="00AC24B5" w:rsidP="00F02173">
      <w:pPr>
        <w:spacing w:after="0" w:line="240" w:lineRule="auto"/>
        <w:jc w:val="both"/>
        <w:rPr>
          <w:rFonts w:ascii="Arial" w:hAnsi="Arial" w:cs="Arial"/>
          <w:sz w:val="24"/>
          <w:szCs w:val="24"/>
        </w:rPr>
      </w:pPr>
    </w:p>
    <w:p w14:paraId="68CE0642" w14:textId="77777777" w:rsidR="00F508BF" w:rsidRPr="003F507A" w:rsidRDefault="00F508BF" w:rsidP="00F02173">
      <w:pPr>
        <w:spacing w:after="0" w:line="240" w:lineRule="auto"/>
        <w:jc w:val="both"/>
        <w:rPr>
          <w:rFonts w:ascii="Arial" w:hAnsi="Arial" w:cs="Arial"/>
          <w:sz w:val="24"/>
          <w:szCs w:val="24"/>
        </w:rPr>
      </w:pPr>
    </w:p>
    <w:p w14:paraId="42D310AE" w14:textId="77777777" w:rsidR="00AC24B5" w:rsidRPr="003F507A" w:rsidRDefault="00AC24B5" w:rsidP="00AC24B5">
      <w:pPr>
        <w:spacing w:after="0" w:line="240" w:lineRule="auto"/>
        <w:jc w:val="center"/>
        <w:rPr>
          <w:rFonts w:ascii="Arial" w:hAnsi="Arial" w:cs="Arial"/>
          <w:b/>
          <w:i/>
          <w:sz w:val="24"/>
          <w:szCs w:val="24"/>
        </w:rPr>
      </w:pPr>
      <w:r w:rsidRPr="003F507A">
        <w:rPr>
          <w:rFonts w:ascii="Arial" w:hAnsi="Arial" w:cs="Arial"/>
          <w:b/>
          <w:i/>
          <w:sz w:val="24"/>
          <w:szCs w:val="24"/>
        </w:rPr>
        <w:t>VERDE</w:t>
      </w:r>
      <w:r w:rsidR="002D03A2" w:rsidRPr="003F507A">
        <w:rPr>
          <w:rFonts w:ascii="Arial" w:hAnsi="Arial" w:cs="Arial"/>
          <w:b/>
          <w:i/>
          <w:sz w:val="24"/>
          <w:szCs w:val="24"/>
        </w:rPr>
        <w:t xml:space="preserve"> URBANO</w:t>
      </w:r>
    </w:p>
    <w:p w14:paraId="3633C2F8" w14:textId="77777777" w:rsidR="000765E6" w:rsidRPr="003F507A" w:rsidRDefault="000765E6" w:rsidP="00AC24B5">
      <w:pPr>
        <w:pStyle w:val="Default"/>
        <w:jc w:val="both"/>
        <w:rPr>
          <w:rFonts w:ascii="Arial" w:hAnsi="Arial" w:cs="Arial"/>
          <w:b/>
          <w:bCs/>
        </w:rPr>
      </w:pPr>
    </w:p>
    <w:p w14:paraId="7ACB832D" w14:textId="77777777" w:rsidR="000765E6" w:rsidRPr="003F507A" w:rsidRDefault="000765E6" w:rsidP="00AC24B5">
      <w:pPr>
        <w:pStyle w:val="Default"/>
        <w:jc w:val="both"/>
        <w:rPr>
          <w:rFonts w:ascii="Arial" w:hAnsi="Arial" w:cs="Arial"/>
          <w:bCs/>
        </w:rPr>
      </w:pPr>
      <w:r w:rsidRPr="003F507A">
        <w:rPr>
          <w:rFonts w:ascii="Arial" w:hAnsi="Arial" w:cs="Arial"/>
          <w:bCs/>
        </w:rPr>
        <w:t>In materia di incentivo alla crescita del “verde urbano”</w:t>
      </w:r>
      <w:r w:rsidR="002D03A2" w:rsidRPr="003F507A">
        <w:rPr>
          <w:rFonts w:ascii="Arial" w:hAnsi="Arial" w:cs="Arial"/>
          <w:bCs/>
        </w:rPr>
        <w:t xml:space="preserve"> </w:t>
      </w:r>
      <w:r w:rsidRPr="003F507A">
        <w:rPr>
          <w:rFonts w:ascii="Arial" w:hAnsi="Arial" w:cs="Arial"/>
          <w:bCs/>
        </w:rPr>
        <w:t xml:space="preserve">è stato approvato un emendamento che </w:t>
      </w:r>
      <w:r w:rsidR="003F507A" w:rsidRPr="003F507A">
        <w:rPr>
          <w:rFonts w:ascii="Arial" w:hAnsi="Arial" w:cs="Arial"/>
          <w:bCs/>
        </w:rPr>
        <w:t xml:space="preserve">ha </w:t>
      </w:r>
      <w:r w:rsidRPr="003F507A">
        <w:rPr>
          <w:rFonts w:ascii="Arial" w:hAnsi="Arial" w:cs="Arial"/>
          <w:bCs/>
        </w:rPr>
        <w:t>introd</w:t>
      </w:r>
      <w:r w:rsidR="003F507A" w:rsidRPr="003F507A">
        <w:rPr>
          <w:rFonts w:ascii="Arial" w:hAnsi="Arial" w:cs="Arial"/>
          <w:bCs/>
        </w:rPr>
        <w:t>otto</w:t>
      </w:r>
      <w:r w:rsidR="002D03A2" w:rsidRPr="003F507A">
        <w:rPr>
          <w:rFonts w:ascii="Arial" w:hAnsi="Arial" w:cs="Arial"/>
          <w:bCs/>
        </w:rPr>
        <w:t xml:space="preserve">, per le attività dirette alla commercializzazione di prodotti acquistati da imprenditori agricoli florovivaistici, da altri imprenditori agricoli florovivaistici e nei limiti del 10 per cento del volume di affari, </w:t>
      </w:r>
      <w:r w:rsidRPr="003F507A">
        <w:rPr>
          <w:rFonts w:ascii="Arial" w:hAnsi="Arial" w:cs="Arial"/>
          <w:bCs/>
        </w:rPr>
        <w:t xml:space="preserve">il criterio secondo cui </w:t>
      </w:r>
      <w:r w:rsidRPr="003F507A">
        <w:rPr>
          <w:rFonts w:ascii="Arial" w:hAnsi="Arial" w:cs="Arial"/>
        </w:rPr>
        <w:t>il reddito d'impresa  </w:t>
      </w:r>
      <w:r w:rsidRPr="003F507A">
        <w:rPr>
          <w:rFonts w:ascii="Arial" w:hAnsi="Arial" w:cs="Arial"/>
          <w:bCs/>
        </w:rPr>
        <w:t xml:space="preserve">è </w:t>
      </w:r>
      <w:r w:rsidR="002D03A2" w:rsidRPr="003F507A">
        <w:rPr>
          <w:rFonts w:ascii="Arial" w:hAnsi="Arial" w:cs="Arial"/>
          <w:bCs/>
          <w:i/>
        </w:rPr>
        <w:t>“</w:t>
      </w:r>
      <w:r w:rsidRPr="003F507A">
        <w:rPr>
          <w:rFonts w:ascii="Arial" w:hAnsi="Arial" w:cs="Arial"/>
          <w:bCs/>
          <w:i/>
        </w:rPr>
        <w:t>determinato </w:t>
      </w:r>
      <w:r w:rsidRPr="003F507A">
        <w:rPr>
          <w:rFonts w:ascii="Arial" w:hAnsi="Arial" w:cs="Arial"/>
          <w:i/>
        </w:rPr>
        <w:t>applicando all'ammontare dei corrispettivi delle operazioni registrate o soggette a registrazione agli effetti dell'imposta sul valore aggiunto </w:t>
      </w:r>
      <w:r w:rsidRPr="003F507A">
        <w:rPr>
          <w:rFonts w:ascii="Arial" w:hAnsi="Arial" w:cs="Arial"/>
          <w:bCs/>
          <w:i/>
        </w:rPr>
        <w:t>il coefficiente di </w:t>
      </w:r>
      <w:r w:rsidRPr="003F507A">
        <w:rPr>
          <w:rFonts w:ascii="Arial" w:hAnsi="Arial" w:cs="Arial"/>
          <w:i/>
        </w:rPr>
        <w:t xml:space="preserve">redditività del </w:t>
      </w:r>
      <w:r w:rsidR="002D03A2" w:rsidRPr="003F507A">
        <w:rPr>
          <w:rFonts w:ascii="Arial" w:hAnsi="Arial" w:cs="Arial"/>
          <w:i/>
        </w:rPr>
        <w:t>5</w:t>
      </w:r>
      <w:r w:rsidRPr="003F507A">
        <w:rPr>
          <w:rFonts w:ascii="Arial" w:hAnsi="Arial" w:cs="Arial"/>
          <w:i/>
        </w:rPr>
        <w:t xml:space="preserve"> per cento</w:t>
      </w:r>
      <w:r w:rsidR="002D03A2" w:rsidRPr="003F507A">
        <w:rPr>
          <w:rFonts w:ascii="Arial" w:hAnsi="Arial" w:cs="Arial"/>
          <w:i/>
        </w:rPr>
        <w:t>”</w:t>
      </w:r>
      <w:r w:rsidRPr="003F507A">
        <w:rPr>
          <w:rFonts w:ascii="Arial" w:hAnsi="Arial" w:cs="Arial"/>
          <w:bCs/>
        </w:rPr>
        <w:t> .</w:t>
      </w:r>
    </w:p>
    <w:p w14:paraId="6C744271" w14:textId="77777777" w:rsidR="002D03A2" w:rsidRPr="003F507A" w:rsidRDefault="002D03A2" w:rsidP="002D03A2">
      <w:pPr>
        <w:pStyle w:val="Default"/>
        <w:jc w:val="both"/>
        <w:rPr>
          <w:rFonts w:ascii="Arial" w:hAnsi="Arial" w:cs="Arial"/>
          <w:i/>
        </w:rPr>
      </w:pPr>
      <w:r w:rsidRPr="003F507A">
        <w:rPr>
          <w:rFonts w:ascii="Arial" w:hAnsi="Arial" w:cs="Arial"/>
          <w:bCs/>
          <w:u w:val="single"/>
        </w:rPr>
        <w:t>RIFERIMENTI: ART 1, COMMA 241</w:t>
      </w:r>
      <w:r w:rsidRPr="003F507A">
        <w:rPr>
          <w:rFonts w:ascii="Arial" w:hAnsi="Arial" w:cs="Arial"/>
        </w:rPr>
        <w:t xml:space="preserve">  </w:t>
      </w:r>
    </w:p>
    <w:p w14:paraId="4325D4DF" w14:textId="77777777" w:rsidR="000765E6" w:rsidRDefault="000765E6" w:rsidP="00AC24B5">
      <w:pPr>
        <w:pStyle w:val="Default"/>
        <w:jc w:val="both"/>
        <w:rPr>
          <w:b/>
          <w:bCs/>
          <w:sz w:val="22"/>
          <w:szCs w:val="22"/>
        </w:rPr>
      </w:pPr>
    </w:p>
    <w:p w14:paraId="1D64578A" w14:textId="77777777" w:rsidR="003F507A" w:rsidRDefault="003F507A" w:rsidP="00AC24B5">
      <w:pPr>
        <w:pStyle w:val="Default"/>
        <w:jc w:val="both"/>
        <w:rPr>
          <w:b/>
          <w:bCs/>
          <w:sz w:val="22"/>
          <w:szCs w:val="22"/>
        </w:rPr>
      </w:pPr>
    </w:p>
    <w:p w14:paraId="2D7F0B85" w14:textId="77777777" w:rsidR="00C06D3D" w:rsidRPr="00C06D3D" w:rsidRDefault="001473E6" w:rsidP="00C06D3D">
      <w:pPr>
        <w:spacing w:after="0" w:line="240" w:lineRule="auto"/>
        <w:jc w:val="center"/>
        <w:rPr>
          <w:rFonts w:ascii="Arial" w:hAnsi="Arial" w:cs="Arial"/>
          <w:b/>
          <w:i/>
          <w:sz w:val="24"/>
          <w:szCs w:val="24"/>
        </w:rPr>
      </w:pPr>
      <w:r>
        <w:rPr>
          <w:rFonts w:ascii="Arial" w:hAnsi="Arial" w:cs="Arial"/>
          <w:b/>
          <w:i/>
          <w:sz w:val="24"/>
          <w:szCs w:val="24"/>
        </w:rPr>
        <w:t xml:space="preserve">SOSTEGNO SERVIZI ALLE PERSONE </w:t>
      </w:r>
    </w:p>
    <w:p w14:paraId="7DE9C49B" w14:textId="77777777" w:rsidR="00C06D3D" w:rsidRDefault="00C06D3D" w:rsidP="00AC24B5">
      <w:pPr>
        <w:pStyle w:val="Default"/>
        <w:jc w:val="both"/>
        <w:rPr>
          <w:b/>
          <w:bCs/>
          <w:sz w:val="22"/>
          <w:szCs w:val="22"/>
        </w:rPr>
      </w:pPr>
    </w:p>
    <w:p w14:paraId="0C285F9B" w14:textId="77777777" w:rsidR="00501F6D" w:rsidRPr="00501F6D" w:rsidRDefault="00C06D3D" w:rsidP="00501F6D">
      <w:pPr>
        <w:autoSpaceDE w:val="0"/>
        <w:autoSpaceDN w:val="0"/>
        <w:adjustRightInd w:val="0"/>
        <w:spacing w:after="0" w:line="240" w:lineRule="auto"/>
        <w:jc w:val="both"/>
        <w:rPr>
          <w:rFonts w:ascii="Arial" w:hAnsi="Arial" w:cs="Arial"/>
          <w:bCs/>
          <w:color w:val="000000"/>
          <w:sz w:val="24"/>
          <w:szCs w:val="24"/>
        </w:rPr>
      </w:pPr>
      <w:r w:rsidRPr="00C06D3D">
        <w:rPr>
          <w:rFonts w:ascii="Arial" w:hAnsi="Arial" w:cs="Arial"/>
          <w:bCs/>
          <w:color w:val="000000"/>
          <w:sz w:val="24"/>
          <w:szCs w:val="24"/>
        </w:rPr>
        <w:t xml:space="preserve">La Manovra ha introdotto un incentivo </w:t>
      </w:r>
      <w:r>
        <w:rPr>
          <w:rFonts w:ascii="Arial" w:hAnsi="Arial" w:cs="Arial"/>
          <w:bCs/>
          <w:color w:val="000000"/>
          <w:sz w:val="24"/>
          <w:szCs w:val="24"/>
        </w:rPr>
        <w:t>per agevolare l’erogazione dei servizi alle persone</w:t>
      </w:r>
      <w:r w:rsidR="001473E6">
        <w:rPr>
          <w:rFonts w:ascii="Arial" w:hAnsi="Arial" w:cs="Arial"/>
          <w:bCs/>
          <w:color w:val="000000"/>
          <w:sz w:val="24"/>
          <w:szCs w:val="24"/>
        </w:rPr>
        <w:t xml:space="preserve"> erogati anche </w:t>
      </w:r>
      <w:r w:rsidR="001473E6" w:rsidRPr="00C06D3D">
        <w:rPr>
          <w:rFonts w:ascii="Arial" w:hAnsi="Arial" w:cs="Arial"/>
          <w:bCs/>
          <w:color w:val="000000"/>
          <w:sz w:val="24"/>
          <w:szCs w:val="24"/>
        </w:rPr>
        <w:t>attraverso i centri di assistenza fiscale</w:t>
      </w:r>
      <w:r w:rsidR="001473E6">
        <w:rPr>
          <w:rFonts w:ascii="Arial" w:hAnsi="Arial" w:cs="Arial"/>
          <w:bCs/>
          <w:color w:val="000000"/>
          <w:sz w:val="24"/>
          <w:szCs w:val="24"/>
        </w:rPr>
        <w:t xml:space="preserve"> (CAF)</w:t>
      </w:r>
      <w:r w:rsidR="001473E6" w:rsidRPr="00C06D3D">
        <w:rPr>
          <w:rFonts w:ascii="Arial" w:hAnsi="Arial" w:cs="Arial"/>
          <w:bCs/>
          <w:color w:val="000000"/>
          <w:sz w:val="24"/>
          <w:szCs w:val="24"/>
        </w:rPr>
        <w:t xml:space="preserve"> in convenzione con l’INPS</w:t>
      </w:r>
      <w:r w:rsidR="001473E6">
        <w:rPr>
          <w:rFonts w:ascii="Arial" w:hAnsi="Arial" w:cs="Arial"/>
          <w:bCs/>
          <w:color w:val="000000"/>
          <w:sz w:val="24"/>
          <w:szCs w:val="24"/>
        </w:rPr>
        <w:t xml:space="preserve"> </w:t>
      </w:r>
      <w:r>
        <w:rPr>
          <w:rFonts w:ascii="Arial" w:hAnsi="Arial" w:cs="Arial"/>
          <w:bCs/>
          <w:color w:val="000000"/>
          <w:sz w:val="24"/>
          <w:szCs w:val="24"/>
        </w:rPr>
        <w:t xml:space="preserve">. In particolare, con un apposito emendamento, a decorrere dall’anno 2020 sono stati </w:t>
      </w:r>
      <w:r w:rsidRPr="00C06D3D">
        <w:rPr>
          <w:rFonts w:ascii="Arial" w:hAnsi="Arial" w:cs="Arial"/>
          <w:bCs/>
          <w:color w:val="000000"/>
          <w:sz w:val="24"/>
          <w:szCs w:val="24"/>
        </w:rPr>
        <w:t>35 milioni di euro al fine di consentire la presentazione delle domande di Reddito di cittadinanza (</w:t>
      </w:r>
      <w:proofErr w:type="spellStart"/>
      <w:r w:rsidRPr="00C06D3D">
        <w:rPr>
          <w:rFonts w:ascii="Arial" w:hAnsi="Arial" w:cs="Arial"/>
          <w:bCs/>
          <w:color w:val="000000"/>
          <w:sz w:val="24"/>
          <w:szCs w:val="24"/>
        </w:rPr>
        <w:t>RdC</w:t>
      </w:r>
      <w:proofErr w:type="spellEnd"/>
      <w:r w:rsidRPr="00C06D3D">
        <w:rPr>
          <w:rFonts w:ascii="Arial" w:hAnsi="Arial" w:cs="Arial"/>
          <w:bCs/>
          <w:color w:val="000000"/>
          <w:sz w:val="24"/>
          <w:szCs w:val="24"/>
        </w:rPr>
        <w:t>) e di Pensione di cittadinanza (</w:t>
      </w:r>
      <w:proofErr w:type="spellStart"/>
      <w:r w:rsidRPr="00C06D3D">
        <w:rPr>
          <w:rFonts w:ascii="Arial" w:hAnsi="Arial" w:cs="Arial"/>
          <w:bCs/>
          <w:color w:val="000000"/>
          <w:sz w:val="24"/>
          <w:szCs w:val="24"/>
        </w:rPr>
        <w:t>PdC</w:t>
      </w:r>
      <w:proofErr w:type="spellEnd"/>
      <w:r w:rsidRPr="00C06D3D">
        <w:rPr>
          <w:rFonts w:ascii="Arial" w:hAnsi="Arial" w:cs="Arial"/>
          <w:bCs/>
          <w:color w:val="000000"/>
          <w:sz w:val="24"/>
          <w:szCs w:val="24"/>
        </w:rPr>
        <w:t xml:space="preserve">), nonché per le attività legate all’assistenza nella presentazione della DSU a fini ISEE. </w:t>
      </w:r>
      <w:r w:rsidR="00501F6D" w:rsidRPr="00501F6D">
        <w:rPr>
          <w:rFonts w:ascii="Arial" w:hAnsi="Arial" w:cs="Arial"/>
          <w:bCs/>
          <w:color w:val="000000"/>
          <w:sz w:val="24"/>
          <w:szCs w:val="24"/>
          <w:u w:val="single"/>
        </w:rPr>
        <w:t xml:space="preserve">La misura consentirà di salvaguardare il ruolo dei </w:t>
      </w:r>
      <w:proofErr w:type="spellStart"/>
      <w:r w:rsidR="00501F6D" w:rsidRPr="00501F6D">
        <w:rPr>
          <w:rFonts w:ascii="Arial" w:hAnsi="Arial" w:cs="Arial"/>
          <w:bCs/>
          <w:color w:val="000000"/>
          <w:sz w:val="24"/>
          <w:szCs w:val="24"/>
          <w:u w:val="single"/>
        </w:rPr>
        <w:t>Caf</w:t>
      </w:r>
      <w:proofErr w:type="spellEnd"/>
      <w:r w:rsidR="00501F6D" w:rsidRPr="00501F6D">
        <w:rPr>
          <w:rFonts w:ascii="Arial" w:hAnsi="Arial" w:cs="Arial"/>
          <w:bCs/>
          <w:color w:val="000000"/>
          <w:sz w:val="24"/>
          <w:szCs w:val="24"/>
          <w:u w:val="single"/>
        </w:rPr>
        <w:t>, prima di tutto nelle aree rurali,</w:t>
      </w:r>
      <w:r w:rsidR="00501F6D" w:rsidRPr="00501F6D">
        <w:rPr>
          <w:rFonts w:ascii="Arial" w:hAnsi="Arial" w:cs="Arial"/>
          <w:bCs/>
          <w:color w:val="000000"/>
          <w:sz w:val="24"/>
          <w:szCs w:val="24"/>
        </w:rPr>
        <w:t xml:space="preserve"> dove i Centri di assistenza fiscale riescono a coniugare la funzione di tutela e di consulenza nei confronti dei cittadini a quella di maggiore intermediario con la pubblica amministrazione, in un quadro di progressivo arretramento della disponibilità di servizi sociali. </w:t>
      </w:r>
    </w:p>
    <w:p w14:paraId="03E86300" w14:textId="77777777" w:rsidR="0014380A" w:rsidRDefault="001473E6" w:rsidP="001473E6">
      <w:pPr>
        <w:pStyle w:val="Default"/>
        <w:jc w:val="both"/>
        <w:rPr>
          <w:rFonts w:ascii="Arial" w:hAnsi="Arial" w:cs="Arial"/>
        </w:rPr>
      </w:pPr>
      <w:r w:rsidRPr="003F507A">
        <w:rPr>
          <w:rFonts w:ascii="Arial" w:hAnsi="Arial" w:cs="Arial"/>
          <w:bCs/>
          <w:u w:val="single"/>
        </w:rPr>
        <w:t xml:space="preserve">RIFERIMENTI: ART 1, COMMA </w:t>
      </w:r>
      <w:r>
        <w:rPr>
          <w:rFonts w:ascii="Arial" w:hAnsi="Arial" w:cs="Arial"/>
          <w:bCs/>
          <w:u w:val="single"/>
        </w:rPr>
        <w:t>542</w:t>
      </w:r>
      <w:r w:rsidRPr="003F507A">
        <w:rPr>
          <w:rFonts w:ascii="Arial" w:hAnsi="Arial" w:cs="Arial"/>
        </w:rPr>
        <w:t xml:space="preserve">  </w:t>
      </w:r>
    </w:p>
    <w:p w14:paraId="052AB87E" w14:textId="77777777" w:rsidR="0014380A" w:rsidRDefault="0014380A">
      <w:pPr>
        <w:rPr>
          <w:rFonts w:ascii="Arial" w:hAnsi="Arial" w:cs="Arial"/>
        </w:rPr>
      </w:pPr>
    </w:p>
    <w:p w14:paraId="52F463CF" w14:textId="77777777" w:rsidR="0000699F" w:rsidRDefault="0014380A">
      <w:pPr>
        <w:rPr>
          <w:rFonts w:ascii="Arial" w:hAnsi="Arial" w:cs="Arial"/>
          <w:b/>
          <w:i/>
          <w:sz w:val="24"/>
          <w:szCs w:val="24"/>
        </w:rPr>
      </w:pPr>
      <w:r w:rsidRPr="0014380A">
        <w:rPr>
          <w:rFonts w:ascii="Arial" w:hAnsi="Arial" w:cs="Arial"/>
          <w:b/>
          <w:i/>
          <w:sz w:val="24"/>
          <w:szCs w:val="24"/>
        </w:rPr>
        <w:t>Altre misure di interesse agricolo contenute nella legge di Bilancio</w:t>
      </w:r>
      <w:r w:rsidR="0000699F">
        <w:rPr>
          <w:rFonts w:ascii="Arial" w:hAnsi="Arial" w:cs="Arial"/>
          <w:b/>
          <w:i/>
          <w:sz w:val="24"/>
          <w:szCs w:val="24"/>
        </w:rPr>
        <w:t>:</w:t>
      </w:r>
    </w:p>
    <w:p w14:paraId="04A5D239" w14:textId="61BF83F7" w:rsidR="00B96204" w:rsidRPr="00B96204" w:rsidRDefault="0000699F" w:rsidP="00B96204">
      <w:pPr>
        <w:pStyle w:val="Paragrafoelenco"/>
        <w:numPr>
          <w:ilvl w:val="0"/>
          <w:numId w:val="4"/>
        </w:numPr>
        <w:spacing w:after="0" w:line="240" w:lineRule="auto"/>
        <w:ind w:left="714" w:hanging="357"/>
        <w:contextualSpacing w:val="0"/>
        <w:jc w:val="both"/>
        <w:rPr>
          <w:rFonts w:ascii="Arial" w:hAnsi="Arial" w:cs="Arial"/>
          <w:i/>
          <w:color w:val="000000"/>
          <w:sz w:val="24"/>
          <w:szCs w:val="24"/>
        </w:rPr>
      </w:pPr>
      <w:r w:rsidRPr="0000699F">
        <w:rPr>
          <w:rFonts w:ascii="Arial" w:hAnsi="Arial" w:cs="Arial"/>
          <w:sz w:val="24"/>
          <w:szCs w:val="24"/>
          <w:u w:val="single"/>
        </w:rPr>
        <w:t>Agricoltura biologica</w:t>
      </w:r>
      <w:r w:rsidR="00D449F7" w:rsidRPr="00D449F7">
        <w:rPr>
          <w:rFonts w:ascii="Arial" w:hAnsi="Arial" w:cs="Arial"/>
          <w:b/>
          <w:iCs/>
          <w:sz w:val="24"/>
          <w:szCs w:val="24"/>
        </w:rPr>
        <w:t>:</w:t>
      </w:r>
      <w:r w:rsidRPr="0000699F">
        <w:rPr>
          <w:rFonts w:ascii="Arial" w:hAnsi="Arial" w:cs="Arial"/>
          <w:b/>
          <w:i/>
          <w:sz w:val="24"/>
          <w:szCs w:val="24"/>
        </w:rPr>
        <w:t xml:space="preserve"> </w:t>
      </w:r>
      <w:r w:rsidRPr="0000699F">
        <w:rPr>
          <w:rFonts w:ascii="Arial" w:hAnsi="Arial" w:cs="Arial"/>
          <w:bCs/>
          <w:color w:val="000000"/>
          <w:sz w:val="24"/>
          <w:szCs w:val="24"/>
        </w:rPr>
        <w:t xml:space="preserve">istituito un Fondo </w:t>
      </w:r>
      <w:r w:rsidRPr="00C6303B">
        <w:rPr>
          <w:rFonts w:ascii="Arial" w:hAnsi="Arial" w:cs="Arial"/>
          <w:bCs/>
          <w:i/>
          <w:iCs/>
          <w:color w:val="000000"/>
          <w:sz w:val="24"/>
          <w:szCs w:val="24"/>
        </w:rPr>
        <w:t>ad ho</w:t>
      </w:r>
      <w:r w:rsidR="00C6303B" w:rsidRPr="00C6303B">
        <w:rPr>
          <w:rFonts w:ascii="Arial" w:hAnsi="Arial" w:cs="Arial"/>
          <w:bCs/>
          <w:i/>
          <w:iCs/>
          <w:color w:val="000000"/>
          <w:sz w:val="24"/>
          <w:szCs w:val="24"/>
        </w:rPr>
        <w:t>c</w:t>
      </w:r>
      <w:r w:rsidRPr="0000699F">
        <w:rPr>
          <w:rFonts w:ascii="Arial" w:hAnsi="Arial" w:cs="Arial"/>
          <w:bCs/>
          <w:color w:val="000000"/>
          <w:sz w:val="24"/>
          <w:szCs w:val="24"/>
        </w:rPr>
        <w:t xml:space="preserve"> con una dotazione pari a 4 milioni di euro per il 2020 e 5 milioni di euro annui a decorrere dal 2021</w:t>
      </w:r>
      <w:r w:rsidR="00B96204">
        <w:rPr>
          <w:rFonts w:ascii="Arial" w:hAnsi="Arial" w:cs="Arial"/>
          <w:bCs/>
          <w:color w:val="000000"/>
          <w:sz w:val="24"/>
          <w:szCs w:val="24"/>
        </w:rPr>
        <w:t>.</w:t>
      </w:r>
      <w:r>
        <w:rPr>
          <w:rFonts w:ascii="Arial" w:hAnsi="Arial" w:cs="Arial"/>
          <w:bCs/>
          <w:color w:val="000000"/>
          <w:sz w:val="24"/>
          <w:szCs w:val="24"/>
        </w:rPr>
        <w:t xml:space="preserve"> </w:t>
      </w:r>
    </w:p>
    <w:p w14:paraId="687E75E6" w14:textId="47C8C820" w:rsidR="0000699F" w:rsidRPr="00FC4BAB" w:rsidRDefault="0000699F" w:rsidP="00B96204">
      <w:pPr>
        <w:pStyle w:val="Paragrafoelenco"/>
        <w:spacing w:after="120" w:line="240" w:lineRule="auto"/>
        <w:ind w:left="714"/>
        <w:contextualSpacing w:val="0"/>
        <w:jc w:val="both"/>
        <w:rPr>
          <w:rFonts w:ascii="Arial" w:hAnsi="Arial" w:cs="Arial"/>
          <w:i/>
          <w:color w:val="000000"/>
          <w:sz w:val="24"/>
          <w:szCs w:val="24"/>
        </w:rPr>
      </w:pPr>
      <w:r w:rsidRPr="00FC4BAB">
        <w:rPr>
          <w:rFonts w:ascii="Arial" w:hAnsi="Arial" w:cs="Arial"/>
          <w:bCs/>
          <w:i/>
          <w:color w:val="000000"/>
          <w:sz w:val="24"/>
          <w:szCs w:val="24"/>
        </w:rPr>
        <w:t>(Riferimenti, Art. 1 comma 58</w:t>
      </w:r>
      <w:r w:rsidR="00B96204">
        <w:rPr>
          <w:rFonts w:ascii="Arial" w:hAnsi="Arial" w:cs="Arial"/>
          <w:bCs/>
          <w:i/>
          <w:color w:val="000000"/>
          <w:sz w:val="24"/>
          <w:szCs w:val="24"/>
        </w:rPr>
        <w:t>5</w:t>
      </w:r>
      <w:r w:rsidRPr="00FC4BAB">
        <w:rPr>
          <w:rFonts w:ascii="Arial" w:hAnsi="Arial" w:cs="Arial"/>
          <w:bCs/>
          <w:i/>
          <w:color w:val="000000"/>
          <w:sz w:val="24"/>
          <w:szCs w:val="24"/>
        </w:rPr>
        <w:t>)</w:t>
      </w:r>
    </w:p>
    <w:p w14:paraId="567DE44D" w14:textId="52F2CDC3" w:rsidR="0000699F" w:rsidRPr="00FC4BAB" w:rsidRDefault="0000699F" w:rsidP="00B96204">
      <w:pPr>
        <w:pStyle w:val="Paragrafoelenco"/>
        <w:numPr>
          <w:ilvl w:val="0"/>
          <w:numId w:val="4"/>
        </w:numPr>
        <w:spacing w:after="120" w:line="240" w:lineRule="auto"/>
        <w:ind w:left="714" w:hanging="357"/>
        <w:contextualSpacing w:val="0"/>
        <w:jc w:val="both"/>
        <w:rPr>
          <w:rFonts w:ascii="Arial" w:hAnsi="Arial" w:cs="Arial"/>
          <w:bCs/>
          <w:i/>
          <w:color w:val="000000"/>
          <w:sz w:val="24"/>
          <w:szCs w:val="24"/>
        </w:rPr>
      </w:pPr>
      <w:r w:rsidRPr="0000699F">
        <w:rPr>
          <w:rFonts w:ascii="Arial" w:hAnsi="Arial" w:cs="Arial"/>
          <w:sz w:val="24"/>
          <w:szCs w:val="24"/>
          <w:u w:val="single"/>
        </w:rPr>
        <w:t>Agroenergie</w:t>
      </w:r>
      <w:r w:rsidR="00D449F7" w:rsidRPr="00D449F7">
        <w:rPr>
          <w:rFonts w:ascii="Arial" w:hAnsi="Arial" w:cs="Arial"/>
          <w:sz w:val="24"/>
          <w:szCs w:val="24"/>
        </w:rPr>
        <w:t>:</w:t>
      </w:r>
      <w:r w:rsidRPr="0000699F">
        <w:rPr>
          <w:rFonts w:ascii="Arial" w:hAnsi="Arial" w:cs="Arial"/>
          <w:bCs/>
          <w:color w:val="000000"/>
          <w:sz w:val="24"/>
          <w:szCs w:val="24"/>
        </w:rPr>
        <w:t xml:space="preserve"> </w:t>
      </w:r>
      <w:r w:rsidR="00D449F7">
        <w:rPr>
          <w:rFonts w:ascii="Arial" w:hAnsi="Arial" w:cs="Arial"/>
          <w:bCs/>
          <w:color w:val="000000"/>
          <w:sz w:val="24"/>
          <w:szCs w:val="24"/>
        </w:rPr>
        <w:t>i</w:t>
      </w:r>
      <w:r w:rsidRPr="0000699F">
        <w:rPr>
          <w:rFonts w:ascii="Arial" w:hAnsi="Arial" w:cs="Arial"/>
          <w:bCs/>
          <w:color w:val="000000"/>
          <w:sz w:val="24"/>
          <w:szCs w:val="24"/>
        </w:rPr>
        <w:t xml:space="preserve">ntrodotto un sistema d’incentivi per la produzione di energia elettrica realizzata all’interno </w:t>
      </w:r>
      <w:r>
        <w:rPr>
          <w:rFonts w:ascii="Arial" w:hAnsi="Arial" w:cs="Arial"/>
          <w:bCs/>
          <w:color w:val="000000"/>
          <w:sz w:val="24"/>
          <w:szCs w:val="24"/>
        </w:rPr>
        <w:t>d</w:t>
      </w:r>
      <w:r w:rsidRPr="0000699F">
        <w:rPr>
          <w:rFonts w:ascii="Arial" w:hAnsi="Arial" w:cs="Arial"/>
          <w:bCs/>
          <w:color w:val="000000"/>
          <w:sz w:val="24"/>
          <w:szCs w:val="24"/>
        </w:rPr>
        <w:t>i impianti di produzione esistenti alimentati a biogas, realizzati da imprenditori agricoli singoli o associati, anche in forma consortile.</w:t>
      </w:r>
      <w:r>
        <w:rPr>
          <w:rFonts w:ascii="Arial" w:hAnsi="Arial" w:cs="Arial"/>
          <w:bCs/>
          <w:color w:val="000000"/>
          <w:sz w:val="24"/>
          <w:szCs w:val="24"/>
        </w:rPr>
        <w:t xml:space="preserve"> Sullo stesso ambito, una modifica del decreto </w:t>
      </w:r>
      <w:r w:rsidRPr="0000699F">
        <w:rPr>
          <w:rFonts w:ascii="Arial" w:hAnsi="Arial" w:cs="Arial"/>
          <w:bCs/>
          <w:color w:val="000000"/>
          <w:sz w:val="24"/>
          <w:szCs w:val="24"/>
        </w:rPr>
        <w:t xml:space="preserve">Ministro delle politiche agricole alimentari e forestali 25 febbraio 20 sull'utilizzo agronomico del </w:t>
      </w:r>
      <w:proofErr w:type="spellStart"/>
      <w:r w:rsidRPr="0000699F">
        <w:rPr>
          <w:rFonts w:ascii="Arial" w:hAnsi="Arial" w:cs="Arial"/>
          <w:bCs/>
          <w:color w:val="000000"/>
          <w:sz w:val="24"/>
          <w:szCs w:val="24"/>
        </w:rPr>
        <w:t>digestato</w:t>
      </w:r>
      <w:proofErr w:type="spellEnd"/>
      <w:r w:rsidRPr="0000699F">
        <w:rPr>
          <w:rFonts w:ascii="Arial" w:hAnsi="Arial" w:cs="Arial"/>
          <w:bCs/>
          <w:color w:val="000000"/>
          <w:sz w:val="24"/>
          <w:szCs w:val="24"/>
        </w:rPr>
        <w:t xml:space="preserve"> equiparato</w:t>
      </w:r>
      <w:r w:rsidR="00B96204">
        <w:rPr>
          <w:rFonts w:ascii="Arial" w:hAnsi="Arial" w:cs="Arial"/>
          <w:bCs/>
          <w:color w:val="000000"/>
          <w:sz w:val="24"/>
          <w:szCs w:val="24"/>
        </w:rPr>
        <w:t>.</w:t>
      </w:r>
      <w:r>
        <w:rPr>
          <w:rFonts w:ascii="Arial" w:hAnsi="Arial" w:cs="Arial"/>
          <w:bCs/>
          <w:color w:val="000000"/>
          <w:sz w:val="24"/>
          <w:szCs w:val="24"/>
        </w:rPr>
        <w:t xml:space="preserve"> </w:t>
      </w:r>
      <w:r w:rsidRPr="00FC4BAB">
        <w:rPr>
          <w:rFonts w:ascii="Arial" w:hAnsi="Arial" w:cs="Arial"/>
          <w:bCs/>
          <w:i/>
          <w:color w:val="000000"/>
          <w:sz w:val="24"/>
          <w:szCs w:val="24"/>
        </w:rPr>
        <w:t>(Riferimenti, Art. 1 commi 587 e seguenti)</w:t>
      </w:r>
    </w:p>
    <w:p w14:paraId="36AC3F75" w14:textId="08E4B6A2" w:rsidR="00B96204" w:rsidRDefault="00FC4BAB" w:rsidP="00B96204">
      <w:pPr>
        <w:pStyle w:val="Paragrafoelenco"/>
        <w:numPr>
          <w:ilvl w:val="0"/>
          <w:numId w:val="4"/>
        </w:numPr>
        <w:autoSpaceDE w:val="0"/>
        <w:autoSpaceDN w:val="0"/>
        <w:adjustRightInd w:val="0"/>
        <w:spacing w:after="0" w:line="240" w:lineRule="auto"/>
        <w:ind w:left="714" w:hanging="357"/>
        <w:contextualSpacing w:val="0"/>
        <w:jc w:val="both"/>
        <w:rPr>
          <w:rFonts w:ascii="Arial" w:hAnsi="Arial" w:cs="Arial"/>
          <w:bCs/>
          <w:color w:val="000000"/>
          <w:sz w:val="24"/>
          <w:szCs w:val="24"/>
        </w:rPr>
      </w:pPr>
      <w:r w:rsidRPr="00FC4BAB">
        <w:rPr>
          <w:rFonts w:ascii="Arial" w:hAnsi="Arial" w:cs="Arial"/>
          <w:sz w:val="24"/>
          <w:szCs w:val="24"/>
          <w:u w:val="single"/>
        </w:rPr>
        <w:lastRenderedPageBreak/>
        <w:t>Imprenditoria femminile</w:t>
      </w:r>
      <w:r w:rsidR="00D449F7" w:rsidRPr="00D449F7">
        <w:rPr>
          <w:rFonts w:ascii="Arial" w:hAnsi="Arial" w:cs="Arial"/>
          <w:sz w:val="24"/>
          <w:szCs w:val="24"/>
        </w:rPr>
        <w:t>: c</w:t>
      </w:r>
      <w:r w:rsidRPr="00FC4BAB">
        <w:rPr>
          <w:rFonts w:ascii="Arial" w:hAnsi="Arial" w:cs="Arial"/>
          <w:bCs/>
          <w:color w:val="000000"/>
          <w:sz w:val="24"/>
          <w:szCs w:val="24"/>
        </w:rPr>
        <w:t>oncessione di mutui a tasso zero indirizzati ad aziende agricole condotte da imprenditrici che sostengono percorsi di investimento (anche negli ambiti della trasformazione commercializzazione) finalizzati allo sviluppo e al consolidamento competitivo</w:t>
      </w:r>
      <w:r w:rsidR="00B96204">
        <w:rPr>
          <w:rFonts w:ascii="Arial" w:hAnsi="Arial" w:cs="Arial"/>
          <w:bCs/>
          <w:color w:val="000000"/>
          <w:sz w:val="24"/>
          <w:szCs w:val="24"/>
        </w:rPr>
        <w:t>.</w:t>
      </w:r>
      <w:r>
        <w:rPr>
          <w:rFonts w:ascii="Arial" w:hAnsi="Arial" w:cs="Arial"/>
          <w:bCs/>
          <w:color w:val="000000"/>
          <w:sz w:val="24"/>
          <w:szCs w:val="24"/>
        </w:rPr>
        <w:t xml:space="preserve"> </w:t>
      </w:r>
    </w:p>
    <w:p w14:paraId="090B2B0C" w14:textId="10060B79" w:rsidR="00FC4BAB" w:rsidRDefault="00FC4BAB" w:rsidP="00B96204">
      <w:pPr>
        <w:pStyle w:val="Paragrafoelenco"/>
        <w:autoSpaceDE w:val="0"/>
        <w:autoSpaceDN w:val="0"/>
        <w:adjustRightInd w:val="0"/>
        <w:spacing w:after="120" w:line="240" w:lineRule="auto"/>
        <w:ind w:left="714"/>
        <w:contextualSpacing w:val="0"/>
        <w:jc w:val="both"/>
        <w:rPr>
          <w:rFonts w:ascii="Arial" w:hAnsi="Arial" w:cs="Arial"/>
          <w:bCs/>
          <w:color w:val="000000"/>
          <w:sz w:val="24"/>
          <w:szCs w:val="24"/>
        </w:rPr>
      </w:pPr>
      <w:r w:rsidRPr="00FC4BAB">
        <w:rPr>
          <w:rFonts w:ascii="Arial" w:hAnsi="Arial" w:cs="Arial"/>
          <w:bCs/>
          <w:i/>
          <w:color w:val="000000"/>
          <w:sz w:val="24"/>
          <w:szCs w:val="24"/>
        </w:rPr>
        <w:t>(Riferimenti, Art. 1 commi 567-568-569)</w:t>
      </w:r>
    </w:p>
    <w:p w14:paraId="0C7F200A" w14:textId="231C4EC1" w:rsidR="00B96204" w:rsidRPr="00B96204" w:rsidRDefault="00FC4BAB" w:rsidP="00B96204">
      <w:pPr>
        <w:pStyle w:val="Paragrafoelenco"/>
        <w:numPr>
          <w:ilvl w:val="0"/>
          <w:numId w:val="4"/>
        </w:numPr>
        <w:autoSpaceDE w:val="0"/>
        <w:autoSpaceDN w:val="0"/>
        <w:adjustRightInd w:val="0"/>
        <w:spacing w:after="0" w:line="240" w:lineRule="auto"/>
        <w:ind w:left="714" w:hanging="357"/>
        <w:contextualSpacing w:val="0"/>
        <w:jc w:val="both"/>
        <w:rPr>
          <w:rFonts w:ascii="Arial" w:hAnsi="Arial" w:cs="Arial"/>
          <w:bCs/>
          <w:i/>
          <w:color w:val="000000"/>
          <w:sz w:val="24"/>
          <w:szCs w:val="24"/>
        </w:rPr>
      </w:pPr>
      <w:r w:rsidRPr="00FC4BAB">
        <w:rPr>
          <w:rFonts w:ascii="Arial" w:hAnsi="Arial" w:cs="Arial"/>
          <w:sz w:val="24"/>
          <w:szCs w:val="24"/>
          <w:u w:val="single"/>
        </w:rPr>
        <w:t>Competitività delle filiere agricole</w:t>
      </w:r>
      <w:r w:rsidR="00D449F7" w:rsidRPr="00D449F7">
        <w:rPr>
          <w:rFonts w:ascii="Arial" w:hAnsi="Arial" w:cs="Arial"/>
          <w:sz w:val="24"/>
          <w:szCs w:val="24"/>
        </w:rPr>
        <w:t>:</w:t>
      </w:r>
      <w:r w:rsidRPr="00FC4BAB">
        <w:rPr>
          <w:rFonts w:ascii="Arial" w:hAnsi="Arial" w:cs="Arial"/>
          <w:sz w:val="24"/>
          <w:szCs w:val="24"/>
        </w:rPr>
        <w:t xml:space="preserve"> </w:t>
      </w:r>
      <w:r w:rsidR="00D449F7">
        <w:rPr>
          <w:rFonts w:ascii="Arial" w:hAnsi="Arial" w:cs="Arial"/>
          <w:bCs/>
          <w:color w:val="000000"/>
          <w:sz w:val="24"/>
          <w:szCs w:val="24"/>
        </w:rPr>
        <w:t>i</w:t>
      </w:r>
      <w:r w:rsidRPr="00FC4BAB">
        <w:rPr>
          <w:rFonts w:ascii="Arial" w:hAnsi="Arial" w:cs="Arial"/>
          <w:bCs/>
          <w:color w:val="000000"/>
          <w:sz w:val="24"/>
          <w:szCs w:val="24"/>
        </w:rPr>
        <w:t>stituito nello stato di previsione del Ministero delle politiche agricole alimentari e forestali un Fondo orientato a sostenere lo sviluppo e gli investimenti delle filiere e con una dotazione finanziaria iniziale di 15 milioni di euro per l'anno 2020 e di 14,5 milioni di euro per l'anno 2021</w:t>
      </w:r>
      <w:r w:rsidR="00B96204">
        <w:rPr>
          <w:rFonts w:ascii="Arial" w:hAnsi="Arial" w:cs="Arial"/>
          <w:bCs/>
          <w:color w:val="000000"/>
          <w:sz w:val="24"/>
          <w:szCs w:val="24"/>
        </w:rPr>
        <w:t>.</w:t>
      </w:r>
      <w:r w:rsidRPr="00FC4BAB">
        <w:rPr>
          <w:rFonts w:ascii="Arial" w:hAnsi="Arial" w:cs="Arial"/>
          <w:bCs/>
          <w:color w:val="000000"/>
          <w:sz w:val="24"/>
          <w:szCs w:val="24"/>
        </w:rPr>
        <w:t xml:space="preserve"> </w:t>
      </w:r>
    </w:p>
    <w:p w14:paraId="03FCC759" w14:textId="47CCA382" w:rsidR="00BA4B6D" w:rsidRDefault="00FC4BAB" w:rsidP="00B96204">
      <w:pPr>
        <w:pStyle w:val="Paragrafoelenco"/>
        <w:autoSpaceDE w:val="0"/>
        <w:autoSpaceDN w:val="0"/>
        <w:adjustRightInd w:val="0"/>
        <w:spacing w:after="120" w:line="240" w:lineRule="auto"/>
        <w:ind w:left="714"/>
        <w:contextualSpacing w:val="0"/>
        <w:jc w:val="both"/>
        <w:rPr>
          <w:rFonts w:ascii="Arial" w:hAnsi="Arial" w:cs="Arial"/>
          <w:bCs/>
          <w:i/>
          <w:color w:val="000000"/>
          <w:sz w:val="24"/>
          <w:szCs w:val="24"/>
        </w:rPr>
      </w:pPr>
      <w:r w:rsidRPr="00FC4BAB">
        <w:rPr>
          <w:rFonts w:ascii="Arial" w:hAnsi="Arial" w:cs="Arial"/>
          <w:bCs/>
          <w:i/>
          <w:color w:val="000000"/>
          <w:sz w:val="24"/>
          <w:szCs w:val="24"/>
        </w:rPr>
        <w:t>(Riferimenti, Art. 1 comm</w:t>
      </w:r>
      <w:r>
        <w:rPr>
          <w:rFonts w:ascii="Arial" w:hAnsi="Arial" w:cs="Arial"/>
          <w:bCs/>
          <w:i/>
          <w:color w:val="000000"/>
          <w:sz w:val="24"/>
          <w:szCs w:val="24"/>
        </w:rPr>
        <w:t>a</w:t>
      </w:r>
      <w:r w:rsidRPr="00FC4BAB">
        <w:rPr>
          <w:rFonts w:ascii="Arial" w:hAnsi="Arial" w:cs="Arial"/>
          <w:bCs/>
          <w:i/>
          <w:color w:val="000000"/>
          <w:sz w:val="24"/>
          <w:szCs w:val="24"/>
        </w:rPr>
        <w:t xml:space="preserve"> </w:t>
      </w:r>
      <w:r>
        <w:rPr>
          <w:rFonts w:ascii="Arial" w:hAnsi="Arial" w:cs="Arial"/>
          <w:bCs/>
          <w:i/>
          <w:color w:val="000000"/>
          <w:sz w:val="24"/>
          <w:szCs w:val="24"/>
        </w:rPr>
        <w:t>570</w:t>
      </w:r>
      <w:r w:rsidRPr="00FC4BAB">
        <w:rPr>
          <w:rFonts w:ascii="Arial" w:hAnsi="Arial" w:cs="Arial"/>
          <w:bCs/>
          <w:i/>
          <w:color w:val="000000"/>
          <w:sz w:val="24"/>
          <w:szCs w:val="24"/>
        </w:rPr>
        <w:t>)</w:t>
      </w:r>
    </w:p>
    <w:p w14:paraId="13785F27" w14:textId="1998296B" w:rsidR="00B96204" w:rsidRPr="00B96204" w:rsidRDefault="00BA4B6D" w:rsidP="00B96204">
      <w:pPr>
        <w:pStyle w:val="Paragrafoelenco"/>
        <w:numPr>
          <w:ilvl w:val="0"/>
          <w:numId w:val="4"/>
        </w:numPr>
        <w:autoSpaceDE w:val="0"/>
        <w:autoSpaceDN w:val="0"/>
        <w:adjustRightInd w:val="0"/>
        <w:spacing w:after="0" w:line="240" w:lineRule="auto"/>
        <w:ind w:left="714" w:hanging="357"/>
        <w:contextualSpacing w:val="0"/>
        <w:jc w:val="both"/>
        <w:rPr>
          <w:rFonts w:ascii="Arial" w:hAnsi="Arial" w:cs="Arial"/>
          <w:bCs/>
          <w:i/>
          <w:color w:val="000000"/>
          <w:sz w:val="24"/>
          <w:szCs w:val="24"/>
        </w:rPr>
      </w:pPr>
      <w:r>
        <w:rPr>
          <w:rFonts w:ascii="Arial" w:hAnsi="Arial" w:cs="Arial"/>
          <w:sz w:val="24"/>
          <w:szCs w:val="24"/>
          <w:u w:val="single"/>
        </w:rPr>
        <w:t>Colture arboree</w:t>
      </w:r>
      <w:r w:rsidR="00D449F7" w:rsidRPr="00D449F7">
        <w:rPr>
          <w:rFonts w:ascii="Arial" w:hAnsi="Arial" w:cs="Arial"/>
          <w:sz w:val="24"/>
          <w:szCs w:val="24"/>
        </w:rPr>
        <w:t>:</w:t>
      </w:r>
      <w:r>
        <w:rPr>
          <w:rFonts w:ascii="Arial" w:hAnsi="Arial" w:cs="Arial"/>
          <w:sz w:val="24"/>
          <w:szCs w:val="24"/>
        </w:rPr>
        <w:t xml:space="preserve"> </w:t>
      </w:r>
      <w:r w:rsidR="00D449F7">
        <w:rPr>
          <w:rFonts w:ascii="Arial" w:hAnsi="Arial" w:cs="Arial"/>
          <w:sz w:val="24"/>
          <w:szCs w:val="24"/>
        </w:rPr>
        <w:t>s</w:t>
      </w:r>
      <w:r w:rsidR="00664532">
        <w:rPr>
          <w:rFonts w:ascii="Arial" w:hAnsi="Arial" w:cs="Arial"/>
          <w:sz w:val="24"/>
          <w:szCs w:val="24"/>
        </w:rPr>
        <w:t xml:space="preserve">i prevede la possibilità </w:t>
      </w:r>
      <w:r w:rsidR="00664532" w:rsidRPr="00664532">
        <w:rPr>
          <w:rFonts w:ascii="Arial" w:hAnsi="Arial" w:cs="Arial"/>
          <w:sz w:val="24"/>
          <w:szCs w:val="24"/>
        </w:rPr>
        <w:t>per gli investimenti in nuovi impianti di colture arboree pluriennali di incrementare le spese del 20% (esclusi i costi di acquisto dei terreni) ai fini della determinazione della quota deducibile negli esercizi 2020, 2021 e 2022</w:t>
      </w:r>
      <w:r w:rsidR="00B96204">
        <w:rPr>
          <w:rFonts w:ascii="Arial" w:hAnsi="Arial" w:cs="Arial"/>
          <w:sz w:val="24"/>
          <w:szCs w:val="24"/>
        </w:rPr>
        <w:t>.</w:t>
      </w:r>
      <w:r w:rsidR="00664532">
        <w:rPr>
          <w:rFonts w:ascii="Arial" w:hAnsi="Arial" w:cs="Arial"/>
          <w:sz w:val="24"/>
          <w:szCs w:val="24"/>
        </w:rPr>
        <w:t xml:space="preserve"> </w:t>
      </w:r>
    </w:p>
    <w:p w14:paraId="0BE70907" w14:textId="10A97AC3" w:rsidR="00664532" w:rsidRDefault="00664532" w:rsidP="00B96204">
      <w:pPr>
        <w:pStyle w:val="Paragrafoelenco"/>
        <w:autoSpaceDE w:val="0"/>
        <w:autoSpaceDN w:val="0"/>
        <w:adjustRightInd w:val="0"/>
        <w:spacing w:after="0" w:line="240" w:lineRule="auto"/>
        <w:ind w:left="714"/>
        <w:contextualSpacing w:val="0"/>
        <w:jc w:val="both"/>
        <w:rPr>
          <w:rFonts w:ascii="Arial" w:hAnsi="Arial" w:cs="Arial"/>
          <w:bCs/>
          <w:i/>
          <w:color w:val="000000"/>
          <w:sz w:val="24"/>
          <w:szCs w:val="24"/>
        </w:rPr>
      </w:pPr>
      <w:r w:rsidRPr="00FC4BAB">
        <w:rPr>
          <w:rFonts w:ascii="Arial" w:hAnsi="Arial" w:cs="Arial"/>
          <w:bCs/>
          <w:i/>
          <w:color w:val="000000"/>
          <w:sz w:val="24"/>
          <w:szCs w:val="24"/>
        </w:rPr>
        <w:t>(Riferimenti, Art. 1 comm</w:t>
      </w:r>
      <w:r>
        <w:rPr>
          <w:rFonts w:ascii="Arial" w:hAnsi="Arial" w:cs="Arial"/>
          <w:bCs/>
          <w:i/>
          <w:color w:val="000000"/>
          <w:sz w:val="24"/>
          <w:szCs w:val="24"/>
        </w:rPr>
        <w:t>a</w:t>
      </w:r>
      <w:r w:rsidRPr="00FC4BAB">
        <w:rPr>
          <w:rFonts w:ascii="Arial" w:hAnsi="Arial" w:cs="Arial"/>
          <w:bCs/>
          <w:i/>
          <w:color w:val="000000"/>
          <w:sz w:val="24"/>
          <w:szCs w:val="24"/>
        </w:rPr>
        <w:t xml:space="preserve"> </w:t>
      </w:r>
      <w:r>
        <w:rPr>
          <w:rFonts w:ascii="Arial" w:hAnsi="Arial" w:cs="Arial"/>
          <w:bCs/>
          <w:i/>
          <w:color w:val="000000"/>
          <w:sz w:val="24"/>
          <w:szCs w:val="24"/>
        </w:rPr>
        <w:t>572</w:t>
      </w:r>
      <w:r w:rsidRPr="00FC4BAB">
        <w:rPr>
          <w:rFonts w:ascii="Arial" w:hAnsi="Arial" w:cs="Arial"/>
          <w:bCs/>
          <w:i/>
          <w:color w:val="000000"/>
          <w:sz w:val="24"/>
          <w:szCs w:val="24"/>
        </w:rPr>
        <w:t>)</w:t>
      </w:r>
    </w:p>
    <w:p w14:paraId="39520B50" w14:textId="433CFCD8" w:rsidR="00242113" w:rsidRDefault="00242113" w:rsidP="00B96204">
      <w:pPr>
        <w:pStyle w:val="Paragrafoelenco"/>
        <w:numPr>
          <w:ilvl w:val="0"/>
          <w:numId w:val="4"/>
        </w:numPr>
        <w:autoSpaceDE w:val="0"/>
        <w:autoSpaceDN w:val="0"/>
        <w:adjustRightInd w:val="0"/>
        <w:spacing w:before="120" w:after="0" w:line="240" w:lineRule="auto"/>
        <w:contextualSpacing w:val="0"/>
        <w:jc w:val="both"/>
        <w:rPr>
          <w:rFonts w:ascii="Arial" w:hAnsi="Arial" w:cs="Arial"/>
          <w:sz w:val="24"/>
          <w:szCs w:val="24"/>
        </w:rPr>
      </w:pPr>
      <w:r>
        <w:rPr>
          <w:rFonts w:ascii="Arial" w:hAnsi="Arial" w:cs="Arial"/>
          <w:sz w:val="24"/>
          <w:szCs w:val="24"/>
          <w:u w:val="single"/>
        </w:rPr>
        <w:t>Cimice</w:t>
      </w:r>
      <w:r w:rsidR="00D449F7">
        <w:rPr>
          <w:rFonts w:ascii="Arial" w:hAnsi="Arial" w:cs="Arial"/>
          <w:sz w:val="24"/>
          <w:szCs w:val="24"/>
          <w:u w:val="single"/>
        </w:rPr>
        <w:t xml:space="preserve"> </w:t>
      </w:r>
      <w:r>
        <w:rPr>
          <w:rFonts w:ascii="Arial" w:hAnsi="Arial" w:cs="Arial"/>
          <w:sz w:val="24"/>
          <w:szCs w:val="24"/>
          <w:u w:val="single"/>
        </w:rPr>
        <w:t>asiatica</w:t>
      </w:r>
      <w:r w:rsidR="00D449F7" w:rsidRPr="00D449F7">
        <w:rPr>
          <w:rFonts w:ascii="Arial" w:hAnsi="Arial" w:cs="Arial"/>
          <w:sz w:val="24"/>
          <w:szCs w:val="24"/>
        </w:rPr>
        <w:t>:</w:t>
      </w:r>
      <w:r w:rsidR="00D449F7">
        <w:rPr>
          <w:rFonts w:ascii="Arial" w:hAnsi="Arial" w:cs="Arial"/>
          <w:sz w:val="24"/>
          <w:szCs w:val="24"/>
        </w:rPr>
        <w:t xml:space="preserve"> l</w:t>
      </w:r>
      <w:r w:rsidR="00124EAF" w:rsidRPr="00242113">
        <w:rPr>
          <w:rFonts w:ascii="Arial" w:hAnsi="Arial" w:cs="Arial"/>
          <w:sz w:val="24"/>
          <w:szCs w:val="24"/>
        </w:rPr>
        <w:t xml:space="preserve">a dotazione del Fondo di solidarietà nazionale-interventi indennizzatori </w:t>
      </w:r>
      <w:r w:rsidR="00124EAF" w:rsidRPr="00124EAF">
        <w:rPr>
          <w:rFonts w:ascii="Arial" w:hAnsi="Arial" w:cs="Arial"/>
          <w:sz w:val="24"/>
          <w:szCs w:val="24"/>
        </w:rPr>
        <w:t>(</w:t>
      </w:r>
      <w:r w:rsidR="00124EAF" w:rsidRPr="00242113">
        <w:rPr>
          <w:rFonts w:ascii="Arial" w:hAnsi="Arial" w:cs="Arial"/>
          <w:sz w:val="24"/>
          <w:szCs w:val="24"/>
        </w:rPr>
        <w:t>decreto legislativo 29 marzo 2004, n. 102</w:t>
      </w:r>
      <w:r w:rsidR="00124EAF" w:rsidRPr="00124EAF">
        <w:rPr>
          <w:rFonts w:ascii="Arial" w:hAnsi="Arial" w:cs="Arial"/>
          <w:sz w:val="24"/>
          <w:szCs w:val="24"/>
        </w:rPr>
        <w:t xml:space="preserve">) è incrementata  </w:t>
      </w:r>
      <w:r w:rsidR="00124EAF" w:rsidRPr="00242113">
        <w:rPr>
          <w:rFonts w:ascii="Arial" w:hAnsi="Arial" w:cs="Arial"/>
          <w:sz w:val="24"/>
          <w:szCs w:val="24"/>
        </w:rPr>
        <w:t>di 40 milioni di euro per l'anno 2020 e di 20 milioni di euro per ciascuno degli anni 2021 e 2022</w:t>
      </w:r>
      <w:r w:rsidR="00124EAF" w:rsidRPr="00124EAF">
        <w:rPr>
          <w:rFonts w:ascii="Arial" w:hAnsi="Arial" w:cs="Arial"/>
          <w:sz w:val="24"/>
          <w:szCs w:val="24"/>
        </w:rPr>
        <w:t xml:space="preserve"> al fine di fronteggiare i danni subiti dalle imprese agricole danneggiate dagli attacchi della cimice asiatica.</w:t>
      </w:r>
      <w:r w:rsidR="00124EAF">
        <w:rPr>
          <w:rFonts w:ascii="Arial" w:hAnsi="Arial" w:cs="Arial"/>
          <w:sz w:val="24"/>
          <w:szCs w:val="24"/>
        </w:rPr>
        <w:t xml:space="preserve"> Sullo stesso ambito, per le imprese ubicate nei suddetti territori, s’introduce una deroga stabilendo la possibilità di accedere agli interventi compensativi (di cui al citato decreto </w:t>
      </w:r>
      <w:r w:rsidR="00124EAF" w:rsidRPr="00242113">
        <w:rPr>
          <w:rFonts w:ascii="Arial" w:hAnsi="Arial" w:cs="Arial"/>
          <w:sz w:val="24"/>
          <w:szCs w:val="24"/>
        </w:rPr>
        <w:t>legislativo 29 marzo 2004, n. 102</w:t>
      </w:r>
      <w:r w:rsidR="00124EAF" w:rsidRPr="00124EAF">
        <w:rPr>
          <w:rFonts w:ascii="Arial" w:hAnsi="Arial" w:cs="Arial"/>
          <w:sz w:val="24"/>
          <w:szCs w:val="24"/>
        </w:rPr>
        <w:t>) nel caso di danni non inseriti nel Piano di gestione dei rischi in agricoltura</w:t>
      </w:r>
      <w:r w:rsidR="00124EAF">
        <w:rPr>
          <w:rFonts w:ascii="Arial" w:hAnsi="Arial" w:cs="Arial"/>
          <w:sz w:val="24"/>
          <w:szCs w:val="24"/>
        </w:rPr>
        <w:t>.</w:t>
      </w:r>
    </w:p>
    <w:p w14:paraId="1B88D7A1" w14:textId="77777777" w:rsidR="00B96204" w:rsidRPr="00124EAF" w:rsidRDefault="00B96204" w:rsidP="00B96204">
      <w:pPr>
        <w:pStyle w:val="Paragrafoelenco"/>
        <w:autoSpaceDE w:val="0"/>
        <w:autoSpaceDN w:val="0"/>
        <w:adjustRightInd w:val="0"/>
        <w:spacing w:after="0" w:line="240" w:lineRule="auto"/>
        <w:ind w:left="714"/>
        <w:contextualSpacing w:val="0"/>
        <w:jc w:val="both"/>
        <w:rPr>
          <w:rFonts w:ascii="Arial" w:hAnsi="Arial" w:cs="Arial"/>
          <w:sz w:val="24"/>
          <w:szCs w:val="24"/>
        </w:rPr>
      </w:pPr>
      <w:r w:rsidRPr="00FC4BAB">
        <w:rPr>
          <w:rFonts w:ascii="Arial" w:hAnsi="Arial" w:cs="Arial"/>
          <w:bCs/>
          <w:i/>
          <w:color w:val="000000"/>
          <w:sz w:val="24"/>
          <w:szCs w:val="24"/>
        </w:rPr>
        <w:t>(Riferimenti, Art. 1 comm</w:t>
      </w:r>
      <w:r>
        <w:rPr>
          <w:rFonts w:ascii="Arial" w:hAnsi="Arial" w:cs="Arial"/>
          <w:bCs/>
          <w:i/>
          <w:color w:val="000000"/>
          <w:sz w:val="24"/>
          <w:szCs w:val="24"/>
        </w:rPr>
        <w:t>i</w:t>
      </w:r>
      <w:r w:rsidRPr="00FC4BAB">
        <w:rPr>
          <w:rFonts w:ascii="Arial" w:hAnsi="Arial" w:cs="Arial"/>
          <w:bCs/>
          <w:i/>
          <w:color w:val="000000"/>
          <w:sz w:val="24"/>
          <w:szCs w:val="24"/>
        </w:rPr>
        <w:t xml:space="preserve"> </w:t>
      </w:r>
      <w:r>
        <w:rPr>
          <w:rFonts w:ascii="Arial" w:hAnsi="Arial" w:cs="Arial"/>
          <w:bCs/>
          <w:i/>
          <w:color w:val="000000"/>
          <w:sz w:val="24"/>
          <w:szCs w:val="24"/>
        </w:rPr>
        <w:t>564-565</w:t>
      </w:r>
      <w:r w:rsidRPr="00FC4BAB">
        <w:rPr>
          <w:rFonts w:ascii="Arial" w:hAnsi="Arial" w:cs="Arial"/>
          <w:bCs/>
          <w:i/>
          <w:color w:val="000000"/>
          <w:sz w:val="24"/>
          <w:szCs w:val="24"/>
        </w:rPr>
        <w:t>).</w:t>
      </w:r>
    </w:p>
    <w:p w14:paraId="6BC4ED9D" w14:textId="77777777" w:rsidR="00242113" w:rsidRDefault="00242113" w:rsidP="00242113">
      <w:pPr>
        <w:autoSpaceDE w:val="0"/>
        <w:autoSpaceDN w:val="0"/>
        <w:adjustRightInd w:val="0"/>
        <w:spacing w:before="120" w:after="0" w:line="240" w:lineRule="auto"/>
        <w:jc w:val="both"/>
        <w:rPr>
          <w:rFonts w:ascii="Arial" w:hAnsi="Arial" w:cs="Arial"/>
          <w:bCs/>
          <w:i/>
          <w:color w:val="000000"/>
          <w:sz w:val="24"/>
          <w:szCs w:val="24"/>
        </w:rPr>
      </w:pPr>
    </w:p>
    <w:p w14:paraId="7CDC8DBA" w14:textId="77777777" w:rsidR="0000699F" w:rsidRPr="0000699F" w:rsidRDefault="0000699F" w:rsidP="0000699F">
      <w:pPr>
        <w:rPr>
          <w:rFonts w:ascii="Arial" w:hAnsi="Arial" w:cs="Arial"/>
          <w:color w:val="000000"/>
          <w:sz w:val="24"/>
          <w:szCs w:val="24"/>
        </w:rPr>
      </w:pPr>
      <w:r w:rsidRPr="0000699F">
        <w:rPr>
          <w:rFonts w:ascii="Arial" w:hAnsi="Arial" w:cs="Arial"/>
          <w:bCs/>
          <w:color w:val="000000"/>
          <w:sz w:val="24"/>
          <w:szCs w:val="24"/>
        </w:rPr>
        <w:t xml:space="preserve"> </w:t>
      </w:r>
      <w:r w:rsidR="0014380A" w:rsidRPr="0000699F">
        <w:rPr>
          <w:rFonts w:ascii="Arial" w:hAnsi="Arial" w:cs="Arial"/>
          <w:b/>
          <w:i/>
          <w:sz w:val="24"/>
          <w:szCs w:val="24"/>
        </w:rPr>
        <w:t xml:space="preserve"> </w:t>
      </w:r>
    </w:p>
    <w:p w14:paraId="343615C7" w14:textId="77777777" w:rsidR="0014380A" w:rsidRPr="0000699F" w:rsidRDefault="0014380A" w:rsidP="0000699F">
      <w:pPr>
        <w:pStyle w:val="Paragrafoelenco"/>
        <w:numPr>
          <w:ilvl w:val="0"/>
          <w:numId w:val="4"/>
        </w:numPr>
        <w:rPr>
          <w:rFonts w:ascii="Arial" w:hAnsi="Arial" w:cs="Arial"/>
          <w:color w:val="000000"/>
          <w:sz w:val="24"/>
          <w:szCs w:val="24"/>
        </w:rPr>
      </w:pPr>
      <w:r w:rsidRPr="0000699F">
        <w:rPr>
          <w:rFonts w:ascii="Arial" w:hAnsi="Arial" w:cs="Arial"/>
          <w:b/>
          <w:i/>
          <w:sz w:val="24"/>
          <w:szCs w:val="24"/>
        </w:rPr>
        <w:br w:type="page"/>
      </w:r>
    </w:p>
    <w:p w14:paraId="19EE3ADA" w14:textId="77777777" w:rsidR="000765E6" w:rsidRDefault="000765E6" w:rsidP="00AC24B5">
      <w:pPr>
        <w:pStyle w:val="Default"/>
        <w:jc w:val="both"/>
        <w:rPr>
          <w:b/>
          <w:bCs/>
          <w:sz w:val="22"/>
          <w:szCs w:val="22"/>
        </w:rPr>
      </w:pPr>
    </w:p>
    <w:p w14:paraId="63548294" w14:textId="77777777" w:rsidR="003F507A" w:rsidRDefault="003F507A" w:rsidP="003F507A">
      <w:pPr>
        <w:pBdr>
          <w:top w:val="single" w:sz="12" w:space="1" w:color="00B050"/>
          <w:left w:val="single" w:sz="12" w:space="4" w:color="00B050"/>
          <w:bottom w:val="single" w:sz="12" w:space="1" w:color="00B050"/>
          <w:right w:val="single" w:sz="12" w:space="4" w:color="00B050"/>
        </w:pBdr>
        <w:spacing w:after="0"/>
        <w:jc w:val="center"/>
        <w:rPr>
          <w:b/>
          <w:color w:val="00B050"/>
          <w:sz w:val="36"/>
          <w:szCs w:val="36"/>
        </w:rPr>
      </w:pPr>
      <w:r>
        <w:rPr>
          <w:b/>
          <w:color w:val="00B050"/>
          <w:sz w:val="36"/>
          <w:szCs w:val="36"/>
        </w:rPr>
        <w:t xml:space="preserve">PRINCIPALI </w:t>
      </w:r>
      <w:r w:rsidRPr="00835905">
        <w:rPr>
          <w:b/>
          <w:color w:val="00B050"/>
          <w:sz w:val="36"/>
          <w:szCs w:val="36"/>
        </w:rPr>
        <w:t xml:space="preserve">RISULTATI </w:t>
      </w:r>
    </w:p>
    <w:p w14:paraId="3C22493F" w14:textId="77777777" w:rsidR="000765E6" w:rsidRPr="003F507A" w:rsidRDefault="003F507A" w:rsidP="003F507A">
      <w:pPr>
        <w:pBdr>
          <w:top w:val="single" w:sz="12" w:space="1" w:color="00B050"/>
          <w:left w:val="single" w:sz="12" w:space="4" w:color="00B050"/>
          <w:bottom w:val="single" w:sz="12" w:space="1" w:color="00B050"/>
          <w:right w:val="single" w:sz="12" w:space="4" w:color="00B050"/>
        </w:pBdr>
        <w:spacing w:after="0"/>
        <w:jc w:val="center"/>
        <w:rPr>
          <w:b/>
          <w:color w:val="00B050"/>
          <w:sz w:val="36"/>
          <w:szCs w:val="36"/>
        </w:rPr>
      </w:pPr>
      <w:r w:rsidRPr="003F507A">
        <w:rPr>
          <w:rFonts w:cstheme="minorHAnsi"/>
          <w:b/>
          <w:color w:val="00B050"/>
          <w:sz w:val="36"/>
          <w:szCs w:val="36"/>
        </w:rPr>
        <w:t>DECRETO FISCALE</w:t>
      </w:r>
    </w:p>
    <w:p w14:paraId="0A60DBCB" w14:textId="77777777" w:rsidR="00AC24B5" w:rsidRDefault="00AC24B5" w:rsidP="00210286">
      <w:pPr>
        <w:spacing w:after="120"/>
        <w:jc w:val="center"/>
        <w:rPr>
          <w:rFonts w:ascii="Arial" w:hAnsi="Arial" w:cs="Arial"/>
          <w:b/>
          <w:i/>
          <w:color w:val="00B050"/>
          <w:sz w:val="28"/>
          <w:szCs w:val="28"/>
        </w:rPr>
      </w:pPr>
    </w:p>
    <w:p w14:paraId="40DCAF6C" w14:textId="77777777" w:rsidR="003F507A" w:rsidRPr="003F507A" w:rsidRDefault="003F507A" w:rsidP="003F507A">
      <w:pPr>
        <w:spacing w:after="0" w:line="240" w:lineRule="auto"/>
        <w:jc w:val="center"/>
        <w:rPr>
          <w:rFonts w:ascii="Arial" w:hAnsi="Arial" w:cs="Arial"/>
          <w:b/>
          <w:i/>
          <w:sz w:val="24"/>
          <w:szCs w:val="24"/>
        </w:rPr>
      </w:pPr>
      <w:r w:rsidRPr="003F507A">
        <w:rPr>
          <w:rFonts w:ascii="Arial" w:hAnsi="Arial" w:cs="Arial"/>
          <w:b/>
          <w:i/>
          <w:sz w:val="24"/>
          <w:szCs w:val="24"/>
        </w:rPr>
        <w:t>RITENUTE E COMPENSAZIONI IN APPALTI E SUBAPPALTI E REVERSE CHARGE MANODOPERA</w:t>
      </w:r>
    </w:p>
    <w:p w14:paraId="6D42904F" w14:textId="77777777" w:rsidR="003F507A" w:rsidRDefault="003F507A" w:rsidP="003F507A">
      <w:pPr>
        <w:spacing w:after="120"/>
        <w:jc w:val="both"/>
        <w:rPr>
          <w:rFonts w:ascii="Arial" w:hAnsi="Arial" w:cs="Arial"/>
          <w:color w:val="00B050"/>
          <w:sz w:val="24"/>
          <w:szCs w:val="24"/>
        </w:rPr>
      </w:pPr>
    </w:p>
    <w:p w14:paraId="2DA70AE1" w14:textId="77777777" w:rsidR="00501F6D" w:rsidRDefault="003F507A" w:rsidP="00501F6D">
      <w:pPr>
        <w:spacing w:after="0"/>
        <w:jc w:val="both"/>
        <w:rPr>
          <w:rFonts w:ascii="Arial" w:hAnsi="Arial" w:cs="Arial"/>
          <w:bCs/>
          <w:color w:val="000000"/>
          <w:sz w:val="24"/>
          <w:szCs w:val="24"/>
        </w:rPr>
      </w:pPr>
      <w:r w:rsidRPr="003F507A">
        <w:rPr>
          <w:rFonts w:ascii="Arial" w:hAnsi="Arial" w:cs="Arial"/>
          <w:bCs/>
          <w:color w:val="000000"/>
          <w:sz w:val="24"/>
          <w:szCs w:val="24"/>
        </w:rPr>
        <w:t xml:space="preserve">Nel corso della conversione del decreto-legge 26 ottobre 2019, n. 124 </w:t>
      </w:r>
      <w:r>
        <w:rPr>
          <w:rFonts w:ascii="Arial" w:hAnsi="Arial" w:cs="Arial"/>
          <w:bCs/>
          <w:color w:val="000000"/>
          <w:sz w:val="24"/>
          <w:szCs w:val="24"/>
        </w:rPr>
        <w:t>(</w:t>
      </w:r>
      <w:r w:rsidRPr="003F507A">
        <w:rPr>
          <w:rFonts w:ascii="Arial" w:hAnsi="Arial" w:cs="Arial"/>
          <w:bCs/>
          <w:color w:val="000000"/>
          <w:sz w:val="24"/>
          <w:szCs w:val="24"/>
        </w:rPr>
        <w:t>recante disposizioni urgenti in materia fiscale e per esigenze indifferibili</w:t>
      </w:r>
      <w:r>
        <w:rPr>
          <w:rFonts w:ascii="Arial" w:hAnsi="Arial" w:cs="Arial"/>
          <w:bCs/>
          <w:color w:val="000000"/>
          <w:sz w:val="24"/>
          <w:szCs w:val="24"/>
        </w:rPr>
        <w:t xml:space="preserve">), </w:t>
      </w:r>
      <w:r w:rsidR="00735E19">
        <w:rPr>
          <w:rFonts w:ascii="Arial" w:hAnsi="Arial" w:cs="Arial"/>
          <w:bCs/>
          <w:color w:val="000000"/>
          <w:sz w:val="24"/>
          <w:szCs w:val="24"/>
        </w:rPr>
        <w:t xml:space="preserve">e in particolare </w:t>
      </w:r>
      <w:r>
        <w:rPr>
          <w:rFonts w:ascii="Arial" w:hAnsi="Arial" w:cs="Arial"/>
          <w:bCs/>
          <w:color w:val="000000"/>
          <w:sz w:val="24"/>
          <w:szCs w:val="24"/>
        </w:rPr>
        <w:t xml:space="preserve">durante la prima lettura presso la </w:t>
      </w:r>
      <w:proofErr w:type="gramStart"/>
      <w:r>
        <w:rPr>
          <w:rFonts w:ascii="Arial" w:hAnsi="Arial" w:cs="Arial"/>
          <w:bCs/>
          <w:color w:val="000000"/>
          <w:sz w:val="24"/>
          <w:szCs w:val="24"/>
        </w:rPr>
        <w:t>Camera dei Deputati</w:t>
      </w:r>
      <w:proofErr w:type="gramEnd"/>
      <w:r w:rsidR="00735E19">
        <w:rPr>
          <w:rFonts w:ascii="Arial" w:hAnsi="Arial" w:cs="Arial"/>
          <w:bCs/>
          <w:color w:val="000000"/>
          <w:sz w:val="24"/>
          <w:szCs w:val="24"/>
        </w:rPr>
        <w:t>,</w:t>
      </w:r>
      <w:r>
        <w:rPr>
          <w:rFonts w:ascii="Arial" w:hAnsi="Arial" w:cs="Arial"/>
          <w:bCs/>
          <w:color w:val="000000"/>
          <w:sz w:val="24"/>
          <w:szCs w:val="24"/>
        </w:rPr>
        <w:t xml:space="preserve"> </w:t>
      </w:r>
      <w:r w:rsidR="007102EC">
        <w:rPr>
          <w:rFonts w:ascii="Arial" w:hAnsi="Arial" w:cs="Arial"/>
          <w:bCs/>
          <w:color w:val="000000"/>
          <w:sz w:val="24"/>
          <w:szCs w:val="24"/>
        </w:rPr>
        <w:t xml:space="preserve">è stato approvato un </w:t>
      </w:r>
      <w:r w:rsidR="007102EC" w:rsidRPr="004D0E25">
        <w:rPr>
          <w:rFonts w:ascii="Arial" w:hAnsi="Arial" w:cs="Arial"/>
          <w:bCs/>
          <w:color w:val="000000"/>
          <w:sz w:val="24"/>
          <w:szCs w:val="24"/>
          <w:u w:val="single"/>
        </w:rPr>
        <w:t>emendamento sostitutivo dell’articolo 4 rubricato “</w:t>
      </w:r>
      <w:r w:rsidR="007102EC" w:rsidRPr="004D0E25">
        <w:rPr>
          <w:rFonts w:ascii="Arial" w:hAnsi="Arial" w:cs="Arial"/>
          <w:i/>
          <w:sz w:val="24"/>
          <w:szCs w:val="24"/>
          <w:u w:val="single"/>
        </w:rPr>
        <w:t xml:space="preserve">ritenute e compensazioni in appalti e subappalti e reverse </w:t>
      </w:r>
      <w:proofErr w:type="spellStart"/>
      <w:r w:rsidR="007102EC" w:rsidRPr="004D0E25">
        <w:rPr>
          <w:rFonts w:ascii="Arial" w:hAnsi="Arial" w:cs="Arial"/>
          <w:i/>
          <w:sz w:val="24"/>
          <w:szCs w:val="24"/>
          <w:u w:val="single"/>
        </w:rPr>
        <w:t>charge</w:t>
      </w:r>
      <w:proofErr w:type="spellEnd"/>
      <w:r w:rsidR="007102EC" w:rsidRPr="004D0E25">
        <w:rPr>
          <w:rFonts w:ascii="Arial" w:hAnsi="Arial" w:cs="Arial"/>
          <w:i/>
          <w:sz w:val="24"/>
          <w:szCs w:val="24"/>
          <w:u w:val="single"/>
        </w:rPr>
        <w:t xml:space="preserve"> manodopera”.</w:t>
      </w:r>
      <w:r w:rsidR="0014380A">
        <w:rPr>
          <w:rFonts w:ascii="Arial" w:hAnsi="Arial" w:cs="Arial"/>
          <w:i/>
          <w:sz w:val="24"/>
          <w:szCs w:val="24"/>
        </w:rPr>
        <w:t xml:space="preserve"> </w:t>
      </w:r>
      <w:r w:rsidR="0014380A" w:rsidRPr="0014380A">
        <w:rPr>
          <w:rFonts w:ascii="Arial" w:hAnsi="Arial" w:cs="Arial"/>
          <w:bCs/>
          <w:color w:val="000000"/>
          <w:sz w:val="24"/>
          <w:szCs w:val="24"/>
        </w:rPr>
        <w:t>Tale norma, nella sua prima formulazione, comportava un’eccessiva burocratizzazione per i committenti: Enti, imprese pubbliche e private e condomini che operano quali sostituti d’imposta in riferimento ai lavoratori impiegati direttamente nell’esecuzione delle opere o dei servizi affidati.</w:t>
      </w:r>
      <w:r w:rsidR="0014380A">
        <w:rPr>
          <w:rFonts w:ascii="Arial" w:hAnsi="Arial" w:cs="Arial"/>
          <w:bCs/>
          <w:color w:val="000000"/>
          <w:sz w:val="24"/>
          <w:szCs w:val="24"/>
        </w:rPr>
        <w:t xml:space="preserve"> </w:t>
      </w:r>
    </w:p>
    <w:p w14:paraId="7C592E07" w14:textId="77777777" w:rsidR="001E6043" w:rsidRDefault="00B81BE7" w:rsidP="00501F6D">
      <w:pPr>
        <w:spacing w:after="0"/>
        <w:jc w:val="both"/>
        <w:rPr>
          <w:rFonts w:ascii="Arial" w:hAnsi="Arial" w:cs="Arial"/>
          <w:sz w:val="24"/>
          <w:szCs w:val="24"/>
        </w:rPr>
      </w:pPr>
      <w:r>
        <w:rPr>
          <w:rFonts w:ascii="Arial" w:hAnsi="Arial" w:cs="Arial"/>
          <w:sz w:val="24"/>
          <w:szCs w:val="24"/>
        </w:rPr>
        <w:t xml:space="preserve">Tra le modifiche </w:t>
      </w:r>
      <w:r w:rsidR="007102EC">
        <w:rPr>
          <w:rFonts w:ascii="Arial" w:hAnsi="Arial" w:cs="Arial"/>
          <w:sz w:val="24"/>
          <w:szCs w:val="24"/>
        </w:rPr>
        <w:t xml:space="preserve">introdotte, rispetto alla veste originaria della norma, </w:t>
      </w:r>
      <w:r>
        <w:rPr>
          <w:rFonts w:ascii="Arial" w:hAnsi="Arial" w:cs="Arial"/>
          <w:sz w:val="24"/>
          <w:szCs w:val="24"/>
        </w:rPr>
        <w:t xml:space="preserve">si sottolinea quella relativa al </w:t>
      </w:r>
      <w:r w:rsidRPr="00735E19">
        <w:rPr>
          <w:rFonts w:ascii="Arial" w:hAnsi="Arial" w:cs="Arial"/>
          <w:sz w:val="24"/>
          <w:szCs w:val="24"/>
          <w:u w:val="single"/>
        </w:rPr>
        <w:t>limite introdotto sull’applicazione delle disposizioni</w:t>
      </w:r>
      <w:r>
        <w:rPr>
          <w:rFonts w:ascii="Arial" w:hAnsi="Arial" w:cs="Arial"/>
          <w:sz w:val="24"/>
          <w:szCs w:val="24"/>
        </w:rPr>
        <w:t xml:space="preserve"> che sono state circoscritte a opere e servizi caratterizzati </w:t>
      </w:r>
      <w:r w:rsidR="00295E23">
        <w:rPr>
          <w:rFonts w:ascii="Arial" w:hAnsi="Arial" w:cs="Arial"/>
          <w:sz w:val="24"/>
          <w:szCs w:val="24"/>
        </w:rPr>
        <w:t xml:space="preserve">dal </w:t>
      </w:r>
      <w:r w:rsidRPr="00B81BE7">
        <w:rPr>
          <w:rFonts w:ascii="Arial" w:hAnsi="Arial" w:cs="Arial"/>
          <w:sz w:val="24"/>
          <w:szCs w:val="24"/>
        </w:rPr>
        <w:t>prevalente utilizzo di manodopera per un importo complessivo che superi la soglia di 200.000 euro annui.</w:t>
      </w:r>
      <w:r>
        <w:rPr>
          <w:rFonts w:ascii="Arial" w:hAnsi="Arial" w:cs="Arial"/>
          <w:sz w:val="24"/>
          <w:szCs w:val="24"/>
        </w:rPr>
        <w:t xml:space="preserve"> Una modifica importante che ha </w:t>
      </w:r>
      <w:r w:rsidR="0014380A" w:rsidRPr="0014380A">
        <w:rPr>
          <w:rFonts w:ascii="Arial" w:hAnsi="Arial" w:cs="Arial"/>
          <w:sz w:val="24"/>
          <w:szCs w:val="24"/>
        </w:rPr>
        <w:t>senza dubbio alle</w:t>
      </w:r>
      <w:r w:rsidR="0014380A">
        <w:rPr>
          <w:rFonts w:ascii="Arial" w:hAnsi="Arial" w:cs="Arial"/>
          <w:sz w:val="24"/>
          <w:szCs w:val="24"/>
        </w:rPr>
        <w:t>g</w:t>
      </w:r>
      <w:r w:rsidR="0014380A" w:rsidRPr="0014380A">
        <w:rPr>
          <w:rFonts w:ascii="Arial" w:hAnsi="Arial" w:cs="Arial"/>
          <w:sz w:val="24"/>
          <w:szCs w:val="24"/>
        </w:rPr>
        <w:t>gerito gli oneri per i committenti rispetto a quanto previsto inizialmente, in quanto estrania dal suo ambito di applicazione tutti i contratti minori. Per il futuro,</w:t>
      </w:r>
      <w:r w:rsidR="0014380A">
        <w:rPr>
          <w:rFonts w:ascii="Arial" w:hAnsi="Arial" w:cs="Arial"/>
          <w:sz w:val="24"/>
          <w:szCs w:val="24"/>
        </w:rPr>
        <w:t xml:space="preserve"> </w:t>
      </w:r>
      <w:r w:rsidR="0014380A" w:rsidRPr="0014380A">
        <w:rPr>
          <w:rFonts w:ascii="Arial" w:hAnsi="Arial" w:cs="Arial"/>
          <w:sz w:val="24"/>
          <w:szCs w:val="24"/>
        </w:rPr>
        <w:t>tale eccessiva burocratizzazione potrebbe essere evitata prevedendo semplicemente a carico del committente l’obbligo di comunicare all’Agenzia delle Entrate la stipulazione del contratto di appalto.</w:t>
      </w:r>
    </w:p>
    <w:p w14:paraId="0447D003" w14:textId="77777777" w:rsidR="001E6043" w:rsidRDefault="001E6043">
      <w:pPr>
        <w:rPr>
          <w:rFonts w:ascii="Arial" w:hAnsi="Arial" w:cs="Arial"/>
          <w:sz w:val="24"/>
          <w:szCs w:val="24"/>
        </w:rPr>
      </w:pPr>
      <w:r>
        <w:rPr>
          <w:rFonts w:ascii="Arial" w:hAnsi="Arial" w:cs="Arial"/>
          <w:sz w:val="24"/>
          <w:szCs w:val="24"/>
        </w:rPr>
        <w:br w:type="page"/>
      </w:r>
    </w:p>
    <w:p w14:paraId="5203B42B" w14:textId="77777777" w:rsidR="003F507A" w:rsidRDefault="003F507A" w:rsidP="003F507A">
      <w:pPr>
        <w:spacing w:after="0" w:line="240" w:lineRule="auto"/>
        <w:jc w:val="center"/>
        <w:rPr>
          <w:rFonts w:ascii="Arial" w:hAnsi="Arial" w:cs="Arial"/>
          <w:b/>
          <w:i/>
          <w:sz w:val="24"/>
          <w:szCs w:val="24"/>
        </w:rPr>
      </w:pPr>
    </w:p>
    <w:p w14:paraId="7323AE7C" w14:textId="77777777" w:rsidR="003F507A" w:rsidRDefault="003F507A" w:rsidP="003F507A">
      <w:pPr>
        <w:pBdr>
          <w:top w:val="single" w:sz="12" w:space="1" w:color="00B050"/>
          <w:left w:val="single" w:sz="12" w:space="4" w:color="00B050"/>
          <w:bottom w:val="single" w:sz="12" w:space="1" w:color="00B050"/>
          <w:right w:val="single" w:sz="12" w:space="4" w:color="00B050"/>
        </w:pBdr>
        <w:spacing w:after="0"/>
        <w:jc w:val="center"/>
        <w:rPr>
          <w:b/>
          <w:color w:val="00B050"/>
          <w:sz w:val="36"/>
          <w:szCs w:val="36"/>
        </w:rPr>
      </w:pPr>
      <w:r>
        <w:rPr>
          <w:b/>
          <w:color w:val="00B050"/>
          <w:sz w:val="36"/>
          <w:szCs w:val="36"/>
        </w:rPr>
        <w:t xml:space="preserve">PRINCIPALI </w:t>
      </w:r>
      <w:r w:rsidRPr="00835905">
        <w:rPr>
          <w:b/>
          <w:color w:val="00B050"/>
          <w:sz w:val="36"/>
          <w:szCs w:val="36"/>
        </w:rPr>
        <w:t>RISULTATI</w:t>
      </w:r>
    </w:p>
    <w:p w14:paraId="3AE9B539" w14:textId="77777777" w:rsidR="003F507A" w:rsidRDefault="003F507A" w:rsidP="003F507A">
      <w:pPr>
        <w:pBdr>
          <w:top w:val="single" w:sz="12" w:space="1" w:color="00B050"/>
          <w:left w:val="single" w:sz="12" w:space="4" w:color="00B050"/>
          <w:bottom w:val="single" w:sz="12" w:space="1" w:color="00B050"/>
          <w:right w:val="single" w:sz="12" w:space="4" w:color="00B050"/>
        </w:pBdr>
        <w:spacing w:after="0"/>
        <w:jc w:val="center"/>
        <w:rPr>
          <w:b/>
          <w:color w:val="00B050"/>
          <w:sz w:val="36"/>
          <w:szCs w:val="36"/>
        </w:rPr>
      </w:pPr>
      <w:r>
        <w:rPr>
          <w:b/>
          <w:color w:val="00B050"/>
          <w:sz w:val="36"/>
          <w:szCs w:val="36"/>
        </w:rPr>
        <w:t>DECRETO CLIMA</w:t>
      </w:r>
      <w:r w:rsidRPr="00835905">
        <w:rPr>
          <w:b/>
          <w:color w:val="00B050"/>
          <w:sz w:val="36"/>
          <w:szCs w:val="36"/>
        </w:rPr>
        <w:t xml:space="preserve"> </w:t>
      </w:r>
    </w:p>
    <w:p w14:paraId="32DA0E05" w14:textId="77777777" w:rsidR="003F507A" w:rsidRDefault="003F507A" w:rsidP="003F507A">
      <w:pPr>
        <w:spacing w:after="0" w:line="240" w:lineRule="auto"/>
        <w:jc w:val="center"/>
        <w:rPr>
          <w:rFonts w:ascii="Arial" w:hAnsi="Arial" w:cs="Arial"/>
          <w:b/>
          <w:i/>
          <w:sz w:val="24"/>
          <w:szCs w:val="24"/>
        </w:rPr>
      </w:pPr>
    </w:p>
    <w:p w14:paraId="7258A623" w14:textId="77777777" w:rsidR="003F507A" w:rsidRDefault="003F507A" w:rsidP="003F507A">
      <w:pPr>
        <w:spacing w:after="0" w:line="240" w:lineRule="auto"/>
        <w:jc w:val="center"/>
        <w:rPr>
          <w:rFonts w:ascii="Arial" w:hAnsi="Arial" w:cs="Arial"/>
          <w:b/>
          <w:i/>
          <w:sz w:val="24"/>
          <w:szCs w:val="24"/>
        </w:rPr>
      </w:pPr>
    </w:p>
    <w:p w14:paraId="4DEA8221" w14:textId="77777777" w:rsidR="00F508BF" w:rsidRPr="003F507A" w:rsidRDefault="00F508BF" w:rsidP="003F507A">
      <w:pPr>
        <w:spacing w:after="0" w:line="240" w:lineRule="auto"/>
        <w:jc w:val="center"/>
        <w:rPr>
          <w:rFonts w:ascii="Arial" w:hAnsi="Arial" w:cs="Arial"/>
          <w:b/>
          <w:i/>
          <w:sz w:val="24"/>
          <w:szCs w:val="24"/>
        </w:rPr>
      </w:pPr>
      <w:r w:rsidRPr="003F507A">
        <w:rPr>
          <w:rFonts w:ascii="Arial" w:hAnsi="Arial" w:cs="Arial"/>
          <w:b/>
          <w:i/>
          <w:sz w:val="24"/>
          <w:szCs w:val="24"/>
        </w:rPr>
        <w:t>MANUTENZIONE AMBIENTALE E PAESAGGISTICA AREE INTERNE</w:t>
      </w:r>
    </w:p>
    <w:p w14:paraId="388EF7BE" w14:textId="77777777" w:rsidR="003F507A" w:rsidRDefault="003F507A" w:rsidP="002D03A2">
      <w:pPr>
        <w:pStyle w:val="Default"/>
        <w:jc w:val="both"/>
        <w:rPr>
          <w:rFonts w:ascii="Arial" w:hAnsi="Arial" w:cs="Arial"/>
        </w:rPr>
      </w:pPr>
    </w:p>
    <w:p w14:paraId="5FC30000" w14:textId="77777777" w:rsidR="002D03A2" w:rsidRPr="003F507A" w:rsidRDefault="00F27F01" w:rsidP="002D03A2">
      <w:pPr>
        <w:pStyle w:val="Default"/>
        <w:jc w:val="both"/>
        <w:rPr>
          <w:rFonts w:ascii="Arial" w:hAnsi="Arial" w:cs="Arial"/>
        </w:rPr>
      </w:pPr>
      <w:r w:rsidRPr="003F507A">
        <w:rPr>
          <w:rFonts w:ascii="Arial" w:hAnsi="Arial" w:cs="Arial"/>
        </w:rPr>
        <w:t xml:space="preserve">Nell’ambito del processo di conversione in legge, con modificazioni, </w:t>
      </w:r>
      <w:r w:rsidRPr="003F507A">
        <w:rPr>
          <w:rFonts w:ascii="Arial" w:hAnsi="Arial" w:cs="Arial"/>
          <w:u w:val="single"/>
        </w:rPr>
        <w:t>del decreto-legge 14 ottobre 2019, n. 111</w:t>
      </w:r>
      <w:r w:rsidRPr="003F507A">
        <w:rPr>
          <w:rFonts w:ascii="Arial" w:hAnsi="Arial" w:cs="Arial"/>
        </w:rPr>
        <w:t xml:space="preserve"> (“Decreto clima”)</w:t>
      </w:r>
      <w:r w:rsidR="002D03A2" w:rsidRPr="003F507A">
        <w:rPr>
          <w:rFonts w:ascii="Arial" w:hAnsi="Arial" w:cs="Arial"/>
        </w:rPr>
        <w:t>, sono state introdotte due importanti novità in linea con le proposte avanzate dalla CIA-Agricoltori italiani:</w:t>
      </w:r>
    </w:p>
    <w:p w14:paraId="56E3E0E2" w14:textId="77777777" w:rsidR="002D03A2" w:rsidRPr="003F507A" w:rsidRDefault="002D03A2" w:rsidP="002D03A2">
      <w:pPr>
        <w:pStyle w:val="Default"/>
        <w:jc w:val="both"/>
        <w:rPr>
          <w:rFonts w:ascii="Arial" w:hAnsi="Arial" w:cs="Arial"/>
        </w:rPr>
      </w:pPr>
    </w:p>
    <w:p w14:paraId="7F37129E" w14:textId="124D7252" w:rsidR="002D03A2" w:rsidRPr="003F507A" w:rsidRDefault="002D03A2" w:rsidP="002D03A2">
      <w:pPr>
        <w:pStyle w:val="Default"/>
        <w:numPr>
          <w:ilvl w:val="0"/>
          <w:numId w:val="4"/>
        </w:numPr>
        <w:jc w:val="both"/>
        <w:rPr>
          <w:rFonts w:ascii="Arial" w:hAnsi="Arial" w:cs="Arial"/>
        </w:rPr>
      </w:pPr>
      <w:r w:rsidRPr="003F507A">
        <w:rPr>
          <w:rFonts w:ascii="Arial" w:hAnsi="Arial" w:cs="Arial"/>
        </w:rPr>
        <w:t xml:space="preserve">È </w:t>
      </w:r>
      <w:r w:rsidR="00F27F01" w:rsidRPr="003F507A">
        <w:rPr>
          <w:rFonts w:ascii="Arial" w:hAnsi="Arial" w:cs="Arial"/>
        </w:rPr>
        <w:t xml:space="preserve">stato introdotto l’articolo 4 bis che ha istituito un Fondo per incentivare il ruolo delle imprese agricole e forestali nelle attività di rimboschimento, tutela ambientale e manutenzione del suolo delle aree interne. Le condizioni, i criteri e le modalità di ripartizione delle risorse del </w:t>
      </w:r>
      <w:r w:rsidR="00F27F01" w:rsidRPr="00735E19">
        <w:rPr>
          <w:rFonts w:ascii="Arial" w:hAnsi="Arial" w:cs="Arial"/>
          <w:u w:val="single"/>
        </w:rPr>
        <w:t>Fondo</w:t>
      </w:r>
      <w:r w:rsidR="00F27F01" w:rsidRPr="003F507A">
        <w:rPr>
          <w:rFonts w:ascii="Arial" w:hAnsi="Arial" w:cs="Arial"/>
        </w:rPr>
        <w:t xml:space="preserve">, la cui dotazione prevista è pari </w:t>
      </w:r>
      <w:r w:rsidR="00F27F01" w:rsidRPr="003F507A">
        <w:rPr>
          <w:rFonts w:ascii="Arial" w:hAnsi="Arial" w:cs="Arial"/>
          <w:bCs/>
        </w:rPr>
        <w:t xml:space="preserve">1 milione di euro per l’anno 2020 e a 2 milioni di euro per l’anno 2021, sono demandati a un decreto ministeriale (Mipaaf) da adottarsi entro 60 giorni dall’entrata in vigore della legge di conversione del </w:t>
      </w:r>
      <w:proofErr w:type="gramStart"/>
      <w:r w:rsidR="00F27F01" w:rsidRPr="003F507A">
        <w:rPr>
          <w:rFonts w:ascii="Arial" w:hAnsi="Arial" w:cs="Arial"/>
          <w:bCs/>
        </w:rPr>
        <w:t xml:space="preserve">decreto </w:t>
      </w:r>
      <w:r w:rsidR="00F27F01" w:rsidRPr="003F507A">
        <w:rPr>
          <w:rFonts w:ascii="Arial" w:hAnsi="Arial" w:cs="Arial"/>
        </w:rPr>
        <w:t>legge</w:t>
      </w:r>
      <w:proofErr w:type="gramEnd"/>
      <w:r w:rsidR="00D449F7">
        <w:rPr>
          <w:rFonts w:ascii="Arial" w:hAnsi="Arial" w:cs="Arial"/>
        </w:rPr>
        <w:t>,</w:t>
      </w:r>
      <w:r w:rsidR="00F27F01" w:rsidRPr="003F507A">
        <w:rPr>
          <w:rFonts w:ascii="Arial" w:hAnsi="Arial" w:cs="Arial"/>
        </w:rPr>
        <w:t xml:space="preserve"> 14 ottobre 2019, n. 111.  </w:t>
      </w:r>
      <w:r w:rsidR="00F27F01" w:rsidRPr="003F507A">
        <w:rPr>
          <w:rFonts w:ascii="Arial" w:hAnsi="Arial" w:cs="Arial"/>
          <w:bCs/>
        </w:rPr>
        <w:t xml:space="preserve">  </w:t>
      </w:r>
    </w:p>
    <w:p w14:paraId="7ED23367" w14:textId="77777777" w:rsidR="00EC3B3E" w:rsidRDefault="00EC3B3E" w:rsidP="002D03A2">
      <w:pPr>
        <w:pStyle w:val="Default"/>
        <w:ind w:left="720"/>
        <w:jc w:val="both"/>
        <w:rPr>
          <w:rFonts w:ascii="Arial" w:hAnsi="Arial" w:cs="Arial"/>
          <w:bCs/>
          <w:u w:val="single"/>
        </w:rPr>
      </w:pPr>
      <w:r w:rsidRPr="003F507A">
        <w:rPr>
          <w:rFonts w:ascii="Arial" w:hAnsi="Arial" w:cs="Arial"/>
          <w:bCs/>
          <w:u w:val="single"/>
        </w:rPr>
        <w:t>RIFERIMENTI: ART 4-bis</w:t>
      </w:r>
      <w:r w:rsidR="007102EC">
        <w:rPr>
          <w:rFonts w:ascii="Arial" w:hAnsi="Arial" w:cs="Arial"/>
          <w:bCs/>
          <w:u w:val="single"/>
        </w:rPr>
        <w:t>.</w:t>
      </w:r>
    </w:p>
    <w:p w14:paraId="610AE7EF" w14:textId="77777777" w:rsidR="007102EC" w:rsidRDefault="007102EC" w:rsidP="007102EC">
      <w:pPr>
        <w:pStyle w:val="Default"/>
        <w:ind w:left="720"/>
        <w:jc w:val="both"/>
        <w:rPr>
          <w:rFonts w:ascii="Arial" w:hAnsi="Arial" w:cs="Arial"/>
          <w:bCs/>
          <w:u w:val="single"/>
        </w:rPr>
      </w:pPr>
    </w:p>
    <w:p w14:paraId="7A709CDA" w14:textId="77777777" w:rsidR="00A149BB" w:rsidRDefault="007102EC" w:rsidP="00A149BB">
      <w:pPr>
        <w:pStyle w:val="Default"/>
        <w:numPr>
          <w:ilvl w:val="0"/>
          <w:numId w:val="4"/>
        </w:numPr>
        <w:jc w:val="both"/>
        <w:rPr>
          <w:rFonts w:ascii="Arial" w:hAnsi="Arial" w:cs="Arial"/>
        </w:rPr>
      </w:pPr>
      <w:r w:rsidRPr="00A149BB">
        <w:rPr>
          <w:rFonts w:ascii="Arial" w:hAnsi="Arial" w:cs="Arial"/>
          <w:bCs/>
        </w:rPr>
        <w:t>Sempre in materia di dissesto idrogeologico, è stata introdotta una modifica all’articolo 4 del sopra citato disegno di legge che ha esteso</w:t>
      </w:r>
      <w:r w:rsidR="00A149BB" w:rsidRPr="00A149BB">
        <w:rPr>
          <w:rFonts w:ascii="Arial" w:hAnsi="Arial" w:cs="Arial"/>
          <w:bCs/>
        </w:rPr>
        <w:t xml:space="preserve">, alle  autorità competenti nella gestione del demanio fluviale e nella programmazione degli interventi di contrasto al dissesto idrogeologico, </w:t>
      </w:r>
      <w:r w:rsidRPr="00A149BB">
        <w:rPr>
          <w:rFonts w:ascii="Arial" w:hAnsi="Arial" w:cs="Arial"/>
          <w:bCs/>
        </w:rPr>
        <w:t xml:space="preserve">la </w:t>
      </w:r>
      <w:r w:rsidRPr="00735E19">
        <w:rPr>
          <w:rFonts w:ascii="Arial" w:hAnsi="Arial" w:cs="Arial"/>
          <w:bCs/>
          <w:u w:val="single"/>
        </w:rPr>
        <w:t>possibilità</w:t>
      </w:r>
      <w:r w:rsidR="00A149BB" w:rsidRPr="00735E19">
        <w:rPr>
          <w:rFonts w:ascii="Arial" w:hAnsi="Arial" w:cs="Arial"/>
          <w:bCs/>
          <w:u w:val="single"/>
        </w:rPr>
        <w:t xml:space="preserve"> </w:t>
      </w:r>
      <w:r w:rsidRPr="00735E19">
        <w:rPr>
          <w:rFonts w:ascii="Arial" w:hAnsi="Arial" w:cs="Arial"/>
          <w:bCs/>
          <w:u w:val="single"/>
        </w:rPr>
        <w:t>di affidare</w:t>
      </w:r>
      <w:r w:rsidR="00A149BB" w:rsidRPr="00735E19">
        <w:rPr>
          <w:rFonts w:ascii="Arial" w:hAnsi="Arial" w:cs="Arial"/>
          <w:bCs/>
          <w:u w:val="single"/>
        </w:rPr>
        <w:t xml:space="preserve"> </w:t>
      </w:r>
      <w:r w:rsidRPr="00735E19">
        <w:rPr>
          <w:rFonts w:ascii="Arial" w:hAnsi="Arial" w:cs="Arial"/>
          <w:bCs/>
          <w:u w:val="single"/>
        </w:rPr>
        <w:t>lo svolgimento</w:t>
      </w:r>
      <w:r w:rsidR="00A149BB" w:rsidRPr="00735E19">
        <w:rPr>
          <w:rFonts w:ascii="Arial" w:hAnsi="Arial" w:cs="Arial"/>
          <w:bCs/>
          <w:u w:val="single"/>
        </w:rPr>
        <w:t xml:space="preserve"> delle attività di rimboschimento</w:t>
      </w:r>
      <w:r w:rsidRPr="00735E19">
        <w:rPr>
          <w:rFonts w:ascii="Arial" w:hAnsi="Arial" w:cs="Arial"/>
          <w:bCs/>
          <w:u w:val="single"/>
        </w:rPr>
        <w:t xml:space="preserve"> </w:t>
      </w:r>
      <w:r w:rsidR="00A149BB" w:rsidRPr="00735E19">
        <w:rPr>
          <w:rFonts w:ascii="Arial" w:hAnsi="Arial" w:cs="Arial"/>
          <w:u w:val="single"/>
        </w:rPr>
        <w:t xml:space="preserve">delle fasce ripariali e delle aree demaniale </w:t>
      </w:r>
      <w:r w:rsidRPr="00735E19">
        <w:rPr>
          <w:rFonts w:ascii="Arial" w:hAnsi="Arial" w:cs="Arial"/>
          <w:bCs/>
          <w:u w:val="single"/>
        </w:rPr>
        <w:t>agli imprenditori agricoli</w:t>
      </w:r>
      <w:r w:rsidRPr="00A149BB">
        <w:rPr>
          <w:rFonts w:ascii="Arial" w:hAnsi="Arial" w:cs="Arial"/>
          <w:bCs/>
        </w:rPr>
        <w:t xml:space="preserve"> in forma singola o associata</w:t>
      </w:r>
      <w:r w:rsidR="00A149BB" w:rsidRPr="00A149BB">
        <w:rPr>
          <w:rFonts w:ascii="Arial" w:hAnsi="Arial" w:cs="Arial"/>
          <w:bCs/>
        </w:rPr>
        <w:t xml:space="preserve">. Una proposta sollecitata dalla CIA-Agricoltori italiani ed </w:t>
      </w:r>
      <w:r w:rsidR="00A149BB" w:rsidRPr="00A149BB">
        <w:rPr>
          <w:rFonts w:ascii="Arial" w:hAnsi="Arial" w:cs="Arial"/>
        </w:rPr>
        <w:t>in linea e in continuità rispetto alle disposizioni contenute nel Capo III (articoli 14 e 15) del decreto legislativo 18 maggio 2001, n. 228 (“legge di orientamento in agricoltura”).</w:t>
      </w:r>
    </w:p>
    <w:p w14:paraId="4D3E6004" w14:textId="03B8B3EA" w:rsidR="001E6043" w:rsidRDefault="00A149BB" w:rsidP="00A149BB">
      <w:pPr>
        <w:pStyle w:val="Default"/>
        <w:ind w:left="720"/>
        <w:jc w:val="both"/>
        <w:rPr>
          <w:rFonts w:ascii="Arial" w:hAnsi="Arial" w:cs="Arial"/>
          <w:bCs/>
          <w:u w:val="single"/>
        </w:rPr>
      </w:pPr>
      <w:r w:rsidRPr="003F507A">
        <w:rPr>
          <w:rFonts w:ascii="Arial" w:hAnsi="Arial" w:cs="Arial"/>
          <w:bCs/>
          <w:u w:val="single"/>
        </w:rPr>
        <w:t>RIFERIMENTI: ART 4</w:t>
      </w:r>
    </w:p>
    <w:p w14:paraId="6CF64700" w14:textId="77777777" w:rsidR="001E6043" w:rsidRDefault="001E6043">
      <w:pPr>
        <w:rPr>
          <w:rFonts w:ascii="Arial" w:hAnsi="Arial" w:cs="Arial"/>
          <w:bCs/>
          <w:color w:val="000000"/>
          <w:sz w:val="24"/>
          <w:szCs w:val="24"/>
          <w:u w:val="single"/>
        </w:rPr>
      </w:pPr>
      <w:r>
        <w:rPr>
          <w:rFonts w:ascii="Arial" w:hAnsi="Arial" w:cs="Arial"/>
          <w:bCs/>
          <w:u w:val="single"/>
        </w:rPr>
        <w:br w:type="page"/>
      </w:r>
    </w:p>
    <w:p w14:paraId="3F0ECB21" w14:textId="77777777" w:rsidR="00EC3B3E" w:rsidRPr="00EC3B3E" w:rsidRDefault="00EC3B3E" w:rsidP="00EC3B3E">
      <w:pPr>
        <w:pStyle w:val="Default"/>
        <w:rPr>
          <w:rFonts w:ascii="Arial" w:hAnsi="Arial" w:cs="Arial"/>
        </w:rPr>
      </w:pPr>
    </w:p>
    <w:p w14:paraId="35937BD8" w14:textId="77777777" w:rsidR="00D80524" w:rsidRDefault="00D80524" w:rsidP="00D80524">
      <w:pPr>
        <w:pBdr>
          <w:top w:val="single" w:sz="12" w:space="1" w:color="00B050"/>
          <w:left w:val="single" w:sz="12" w:space="4" w:color="00B050"/>
          <w:bottom w:val="single" w:sz="12" w:space="1" w:color="00B050"/>
          <w:right w:val="single" w:sz="12" w:space="4" w:color="00B050"/>
        </w:pBdr>
        <w:spacing w:after="0"/>
        <w:jc w:val="center"/>
        <w:rPr>
          <w:b/>
          <w:color w:val="00B050"/>
          <w:sz w:val="36"/>
          <w:szCs w:val="36"/>
        </w:rPr>
      </w:pPr>
      <w:r w:rsidRPr="00D80524">
        <w:rPr>
          <w:b/>
          <w:color w:val="00B050"/>
          <w:sz w:val="36"/>
          <w:szCs w:val="36"/>
        </w:rPr>
        <w:t xml:space="preserve">QUESTIONI APERTE </w:t>
      </w:r>
    </w:p>
    <w:p w14:paraId="7602D28D" w14:textId="77777777" w:rsidR="00092496" w:rsidRDefault="00092496" w:rsidP="00092496">
      <w:pPr>
        <w:tabs>
          <w:tab w:val="left" w:pos="1338"/>
        </w:tabs>
        <w:spacing w:after="0" w:line="240" w:lineRule="auto"/>
        <w:jc w:val="both"/>
        <w:rPr>
          <w:rFonts w:ascii="Arial" w:hAnsi="Arial" w:cs="Arial"/>
          <w:sz w:val="24"/>
          <w:szCs w:val="24"/>
        </w:rPr>
      </w:pPr>
    </w:p>
    <w:p w14:paraId="65545731" w14:textId="40277A72" w:rsidR="0085636C" w:rsidRDefault="0085636C" w:rsidP="00092496">
      <w:pPr>
        <w:tabs>
          <w:tab w:val="left" w:pos="1338"/>
        </w:tabs>
        <w:spacing w:after="0" w:line="240" w:lineRule="auto"/>
        <w:jc w:val="both"/>
        <w:rPr>
          <w:rFonts w:ascii="Arial" w:hAnsi="Arial" w:cs="Arial"/>
          <w:sz w:val="24"/>
          <w:szCs w:val="24"/>
        </w:rPr>
      </w:pPr>
      <w:r>
        <w:rPr>
          <w:rFonts w:ascii="Arial" w:hAnsi="Arial" w:cs="Arial"/>
          <w:sz w:val="24"/>
          <w:szCs w:val="24"/>
        </w:rPr>
        <w:t>Di seguito si propongono alcuni emendamenti che, in vista dei prossimi provvedimenti legislativi (</w:t>
      </w:r>
      <w:r w:rsidR="00D449F7">
        <w:rPr>
          <w:rFonts w:ascii="Arial" w:hAnsi="Arial" w:cs="Arial"/>
          <w:sz w:val="24"/>
          <w:szCs w:val="24"/>
        </w:rPr>
        <w:t>ad esempio:</w:t>
      </w:r>
      <w:r>
        <w:rPr>
          <w:rFonts w:ascii="Arial" w:hAnsi="Arial" w:cs="Arial"/>
          <w:sz w:val="24"/>
          <w:szCs w:val="24"/>
        </w:rPr>
        <w:t xml:space="preserve"> </w:t>
      </w:r>
      <w:proofErr w:type="gramStart"/>
      <w:r>
        <w:rPr>
          <w:rFonts w:ascii="Arial" w:hAnsi="Arial" w:cs="Arial"/>
          <w:sz w:val="24"/>
          <w:szCs w:val="24"/>
        </w:rPr>
        <w:t>Decreto legge</w:t>
      </w:r>
      <w:proofErr w:type="gramEnd"/>
      <w:r>
        <w:rPr>
          <w:rFonts w:ascii="Arial" w:hAnsi="Arial" w:cs="Arial"/>
          <w:sz w:val="24"/>
          <w:szCs w:val="24"/>
        </w:rPr>
        <w:t xml:space="preserve"> proroga termini, “Collegato agricolo”), si auspica possano </w:t>
      </w:r>
      <w:r w:rsidR="00092496">
        <w:rPr>
          <w:rFonts w:ascii="Arial" w:hAnsi="Arial" w:cs="Arial"/>
          <w:sz w:val="24"/>
          <w:szCs w:val="24"/>
        </w:rPr>
        <w:t xml:space="preserve">essere </w:t>
      </w:r>
      <w:r w:rsidR="00130BD0">
        <w:rPr>
          <w:rFonts w:ascii="Arial" w:hAnsi="Arial" w:cs="Arial"/>
          <w:sz w:val="24"/>
          <w:szCs w:val="24"/>
        </w:rPr>
        <w:t>oggetto di attenzione</w:t>
      </w:r>
      <w:r w:rsidR="00092496">
        <w:rPr>
          <w:rFonts w:ascii="Arial" w:hAnsi="Arial" w:cs="Arial"/>
          <w:sz w:val="24"/>
          <w:szCs w:val="24"/>
        </w:rPr>
        <w:t xml:space="preserve"> da</w:t>
      </w:r>
      <w:r w:rsidR="00130BD0">
        <w:rPr>
          <w:rFonts w:ascii="Arial" w:hAnsi="Arial" w:cs="Arial"/>
          <w:sz w:val="24"/>
          <w:szCs w:val="24"/>
        </w:rPr>
        <w:t xml:space="preserve"> parte del</w:t>
      </w:r>
      <w:r w:rsidR="00092496">
        <w:rPr>
          <w:rFonts w:ascii="Arial" w:hAnsi="Arial" w:cs="Arial"/>
          <w:sz w:val="24"/>
          <w:szCs w:val="24"/>
        </w:rPr>
        <w:t xml:space="preserve"> legislatore</w:t>
      </w:r>
      <w:r w:rsidR="00124EAF">
        <w:rPr>
          <w:rFonts w:ascii="Arial" w:hAnsi="Arial" w:cs="Arial"/>
          <w:sz w:val="24"/>
          <w:szCs w:val="24"/>
        </w:rPr>
        <w:t>. Trattasi</w:t>
      </w:r>
      <w:r w:rsidR="00092496">
        <w:rPr>
          <w:rFonts w:ascii="Arial" w:hAnsi="Arial" w:cs="Arial"/>
          <w:sz w:val="24"/>
          <w:szCs w:val="24"/>
        </w:rPr>
        <w:t xml:space="preserve"> </w:t>
      </w:r>
      <w:r w:rsidR="00124EAF">
        <w:rPr>
          <w:rFonts w:ascii="Arial" w:hAnsi="Arial" w:cs="Arial"/>
          <w:sz w:val="24"/>
          <w:szCs w:val="24"/>
        </w:rPr>
        <w:t>di</w:t>
      </w:r>
      <w:r>
        <w:rPr>
          <w:rFonts w:ascii="Arial" w:hAnsi="Arial" w:cs="Arial"/>
          <w:sz w:val="24"/>
          <w:szCs w:val="24"/>
        </w:rPr>
        <w:t xml:space="preserve"> questioni</w:t>
      </w:r>
      <w:r w:rsidR="00124EAF">
        <w:rPr>
          <w:rFonts w:ascii="Arial" w:hAnsi="Arial" w:cs="Arial"/>
          <w:sz w:val="24"/>
          <w:szCs w:val="24"/>
        </w:rPr>
        <w:t xml:space="preserve"> rimaste irrisolte nel corso della recente Manovra di bilancio</w:t>
      </w:r>
      <w:r w:rsidR="00D449F7">
        <w:rPr>
          <w:rFonts w:ascii="Arial" w:hAnsi="Arial" w:cs="Arial"/>
          <w:sz w:val="24"/>
          <w:szCs w:val="24"/>
        </w:rPr>
        <w:t>,</w:t>
      </w:r>
      <w:r w:rsidR="00124EAF">
        <w:rPr>
          <w:rFonts w:ascii="Arial" w:hAnsi="Arial" w:cs="Arial"/>
          <w:sz w:val="24"/>
          <w:szCs w:val="24"/>
        </w:rPr>
        <w:t xml:space="preserve"> ma che restano urgenti e</w:t>
      </w:r>
      <w:r>
        <w:rPr>
          <w:rFonts w:ascii="Arial" w:hAnsi="Arial" w:cs="Arial"/>
          <w:sz w:val="24"/>
          <w:szCs w:val="24"/>
        </w:rPr>
        <w:t xml:space="preserve"> strategiche per il futuro del settore agroalimentare italiano</w:t>
      </w:r>
      <w:r w:rsidR="00124EAF">
        <w:rPr>
          <w:rFonts w:ascii="Arial" w:hAnsi="Arial" w:cs="Arial"/>
          <w:sz w:val="24"/>
          <w:szCs w:val="24"/>
        </w:rPr>
        <w:t>.</w:t>
      </w:r>
      <w:r>
        <w:rPr>
          <w:rFonts w:ascii="Arial" w:hAnsi="Arial" w:cs="Arial"/>
          <w:sz w:val="24"/>
          <w:szCs w:val="24"/>
        </w:rPr>
        <w:t xml:space="preserve"> </w:t>
      </w:r>
    </w:p>
    <w:p w14:paraId="6FA1E943" w14:textId="77777777" w:rsidR="00E42647" w:rsidRDefault="00E42647" w:rsidP="00092496">
      <w:pPr>
        <w:tabs>
          <w:tab w:val="left" w:pos="1338"/>
        </w:tabs>
        <w:spacing w:after="0" w:line="240" w:lineRule="auto"/>
        <w:jc w:val="both"/>
        <w:rPr>
          <w:rFonts w:ascii="Arial" w:hAnsi="Arial" w:cs="Arial"/>
          <w:sz w:val="24"/>
          <w:szCs w:val="24"/>
        </w:rPr>
      </w:pPr>
    </w:p>
    <w:p w14:paraId="317E8FD9" w14:textId="77777777" w:rsidR="0085636C" w:rsidRDefault="0085636C" w:rsidP="00124EAF">
      <w:pPr>
        <w:pBdr>
          <w:top w:val="single" w:sz="12" w:space="1" w:color="00B050"/>
          <w:left w:val="single" w:sz="12" w:space="4" w:color="00B050"/>
          <w:bottom w:val="single" w:sz="12" w:space="1" w:color="00B050"/>
          <w:right w:val="single" w:sz="12" w:space="4" w:color="00B050"/>
        </w:pBdr>
        <w:spacing w:after="120" w:line="240" w:lineRule="auto"/>
        <w:jc w:val="center"/>
        <w:rPr>
          <w:rFonts w:cstheme="minorHAnsi"/>
          <w:i/>
          <w:iCs/>
          <w:sz w:val="24"/>
          <w:szCs w:val="24"/>
        </w:rPr>
      </w:pPr>
      <w:r>
        <w:rPr>
          <w:rFonts w:cstheme="minorHAnsi"/>
          <w:i/>
          <w:iCs/>
          <w:sz w:val="24"/>
          <w:szCs w:val="24"/>
        </w:rPr>
        <w:t>Art.</w:t>
      </w:r>
    </w:p>
    <w:p w14:paraId="5F614FDF" w14:textId="77777777" w:rsidR="0085636C" w:rsidRDefault="0085636C" w:rsidP="00124EAF">
      <w:pPr>
        <w:pBdr>
          <w:top w:val="single" w:sz="12" w:space="1" w:color="00B050"/>
          <w:left w:val="single" w:sz="12" w:space="4" w:color="00B050"/>
          <w:bottom w:val="single" w:sz="12" w:space="1" w:color="00B050"/>
          <w:right w:val="single" w:sz="12" w:space="4" w:color="00B050"/>
        </w:pBdr>
        <w:spacing w:after="120" w:line="240" w:lineRule="auto"/>
        <w:jc w:val="center"/>
        <w:rPr>
          <w:rFonts w:cstheme="minorHAnsi"/>
          <w:color w:val="0C0C0F"/>
          <w:sz w:val="24"/>
          <w:szCs w:val="24"/>
          <w:shd w:val="clear" w:color="auto" w:fill="FFFFFF"/>
        </w:rPr>
      </w:pPr>
      <w:r w:rsidRPr="0085636C">
        <w:rPr>
          <w:rFonts w:cstheme="minorHAnsi"/>
          <w:i/>
          <w:iCs/>
          <w:sz w:val="24"/>
          <w:szCs w:val="24"/>
        </w:rPr>
        <w:t xml:space="preserve">(modifiche al </w:t>
      </w:r>
      <w:proofErr w:type="gramStart"/>
      <w:r w:rsidRPr="0085636C">
        <w:rPr>
          <w:rFonts w:cstheme="minorHAnsi"/>
          <w:i/>
          <w:iCs/>
          <w:sz w:val="24"/>
          <w:szCs w:val="24"/>
        </w:rPr>
        <w:t>decreto legge</w:t>
      </w:r>
      <w:proofErr w:type="gramEnd"/>
      <w:r w:rsidRPr="0085636C">
        <w:rPr>
          <w:rFonts w:cstheme="minorHAnsi"/>
          <w:i/>
          <w:iCs/>
          <w:sz w:val="24"/>
          <w:szCs w:val="24"/>
        </w:rPr>
        <w:t xml:space="preserve"> 4 ottobre 2018, n.113)</w:t>
      </w:r>
    </w:p>
    <w:p w14:paraId="33420843" w14:textId="77777777" w:rsidR="0085636C" w:rsidRPr="0085636C" w:rsidRDefault="0085636C" w:rsidP="00124EAF">
      <w:pPr>
        <w:pBdr>
          <w:top w:val="single" w:sz="12" w:space="1" w:color="00B050"/>
          <w:left w:val="single" w:sz="12" w:space="4" w:color="00B050"/>
          <w:bottom w:val="single" w:sz="12" w:space="1" w:color="00B050"/>
          <w:right w:val="single" w:sz="12" w:space="4" w:color="00B050"/>
        </w:pBdr>
        <w:spacing w:after="120" w:line="240" w:lineRule="auto"/>
        <w:jc w:val="both"/>
        <w:rPr>
          <w:rFonts w:cstheme="minorHAnsi"/>
          <w:color w:val="0C0C0F"/>
          <w:sz w:val="24"/>
          <w:szCs w:val="24"/>
          <w:shd w:val="clear" w:color="auto" w:fill="FFFFFF"/>
        </w:rPr>
      </w:pPr>
      <w:r w:rsidRPr="0085636C">
        <w:rPr>
          <w:rFonts w:cstheme="minorHAnsi"/>
          <w:color w:val="0C0C0F"/>
          <w:sz w:val="24"/>
          <w:szCs w:val="24"/>
          <w:shd w:val="clear" w:color="auto" w:fill="FFFFFF"/>
        </w:rPr>
        <w:t xml:space="preserve">All'articolo 24,  comma 1-bis  del </w:t>
      </w:r>
      <w:proofErr w:type="gramStart"/>
      <w:r w:rsidRPr="0085636C">
        <w:rPr>
          <w:rFonts w:cstheme="minorHAnsi"/>
          <w:color w:val="0C0C0F"/>
          <w:sz w:val="24"/>
          <w:szCs w:val="24"/>
          <w:shd w:val="clear" w:color="auto" w:fill="FFFFFF"/>
        </w:rPr>
        <w:t>decreto legge</w:t>
      </w:r>
      <w:proofErr w:type="gramEnd"/>
      <w:r w:rsidRPr="0085636C">
        <w:rPr>
          <w:rFonts w:cstheme="minorHAnsi"/>
          <w:color w:val="0C0C0F"/>
          <w:sz w:val="24"/>
          <w:szCs w:val="24"/>
          <w:shd w:val="clear" w:color="auto" w:fill="FFFFFF"/>
        </w:rPr>
        <w:t xml:space="preserve"> 4 ottobre 2018, n.113 così come modificato dalla legge 1 dicembre 2018, n. 132,  le parole «31 dicembre 2019» sono sostituite dalle seguenti «31 dicembre 2020».</w:t>
      </w:r>
    </w:p>
    <w:p w14:paraId="0743BB8C" w14:textId="77777777" w:rsidR="0085636C" w:rsidRPr="0085636C" w:rsidRDefault="0085636C" w:rsidP="00124EAF">
      <w:pPr>
        <w:pBdr>
          <w:top w:val="single" w:sz="12" w:space="1" w:color="00B050"/>
          <w:left w:val="single" w:sz="12" w:space="4" w:color="00B050"/>
          <w:bottom w:val="single" w:sz="12" w:space="1" w:color="00B050"/>
          <w:right w:val="single" w:sz="12" w:space="4" w:color="00B050"/>
        </w:pBdr>
        <w:spacing w:after="0" w:line="240" w:lineRule="auto"/>
        <w:jc w:val="both"/>
        <w:rPr>
          <w:rFonts w:cstheme="minorHAnsi"/>
          <w:b/>
          <w:iCs/>
          <w:sz w:val="24"/>
          <w:szCs w:val="24"/>
        </w:rPr>
      </w:pPr>
      <w:r w:rsidRPr="0050594E">
        <w:rPr>
          <w:rFonts w:cstheme="minorHAnsi"/>
          <w:color w:val="0C0C0F"/>
          <w:sz w:val="28"/>
          <w:szCs w:val="28"/>
          <w:shd w:val="clear" w:color="auto" w:fill="FFFFFF"/>
        </w:rPr>
        <w:t> </w:t>
      </w:r>
      <w:r w:rsidRPr="0050594E">
        <w:rPr>
          <w:rFonts w:cstheme="minorHAnsi"/>
          <w:color w:val="0C0C0F"/>
          <w:sz w:val="28"/>
          <w:szCs w:val="28"/>
          <w:shd w:val="clear" w:color="auto" w:fill="FFFFFF"/>
        </w:rPr>
        <w:br/>
      </w:r>
      <w:r w:rsidRPr="0085636C">
        <w:rPr>
          <w:rFonts w:cstheme="minorHAnsi"/>
          <w:b/>
          <w:iCs/>
          <w:sz w:val="24"/>
          <w:szCs w:val="24"/>
        </w:rPr>
        <w:t>Relazione:</w:t>
      </w:r>
    </w:p>
    <w:p w14:paraId="7DD85585" w14:textId="6F55DC67" w:rsidR="00D449F7" w:rsidRDefault="0085636C" w:rsidP="00124EAF">
      <w:pPr>
        <w:pBdr>
          <w:top w:val="single" w:sz="12" w:space="1" w:color="00B050"/>
          <w:left w:val="single" w:sz="12" w:space="4" w:color="00B050"/>
          <w:bottom w:val="single" w:sz="12" w:space="1" w:color="00B050"/>
          <w:right w:val="single" w:sz="12" w:space="4" w:color="00B050"/>
        </w:pBdr>
        <w:spacing w:after="0" w:line="240" w:lineRule="auto"/>
        <w:jc w:val="both"/>
        <w:rPr>
          <w:rFonts w:cstheme="minorHAnsi"/>
          <w:sz w:val="24"/>
          <w:szCs w:val="24"/>
        </w:rPr>
      </w:pPr>
      <w:r w:rsidRPr="0085636C">
        <w:rPr>
          <w:rFonts w:cstheme="minorHAnsi"/>
          <w:sz w:val="24"/>
          <w:szCs w:val="24"/>
        </w:rPr>
        <w:t xml:space="preserve">L’emendamento introduce una modifica all’articolo 24, comma 1-bis </w:t>
      </w:r>
      <w:r w:rsidRPr="0085636C">
        <w:rPr>
          <w:rFonts w:cstheme="minorHAnsi"/>
          <w:color w:val="0C0C0F"/>
          <w:sz w:val="24"/>
          <w:szCs w:val="24"/>
          <w:shd w:val="clear" w:color="auto" w:fill="FFFFFF"/>
        </w:rPr>
        <w:t xml:space="preserve">del </w:t>
      </w:r>
      <w:proofErr w:type="gramStart"/>
      <w:r w:rsidRPr="0085636C">
        <w:rPr>
          <w:rFonts w:cstheme="minorHAnsi"/>
          <w:color w:val="0C0C0F"/>
          <w:sz w:val="24"/>
          <w:szCs w:val="24"/>
          <w:shd w:val="clear" w:color="auto" w:fill="FFFFFF"/>
        </w:rPr>
        <w:t>decreto legge</w:t>
      </w:r>
      <w:proofErr w:type="gramEnd"/>
      <w:r w:rsidRPr="0085636C">
        <w:rPr>
          <w:rFonts w:cstheme="minorHAnsi"/>
          <w:color w:val="0C0C0F"/>
          <w:sz w:val="24"/>
          <w:szCs w:val="24"/>
          <w:shd w:val="clear" w:color="auto" w:fill="FFFFFF"/>
        </w:rPr>
        <w:t xml:space="preserve"> 4 ottobre 2018, n.113 (così come modificato dalla legge di conversione 1 dicembre 2018, n.132)</w:t>
      </w:r>
      <w:r w:rsidRPr="0085636C">
        <w:rPr>
          <w:rFonts w:cstheme="minorHAnsi"/>
          <w:sz w:val="24"/>
          <w:szCs w:val="24"/>
        </w:rPr>
        <w:t xml:space="preserve"> per prorogare, dal 31 dicembre 2019 al 31 dicembre 2020, l’applicazione delle disposizioni in materia di </w:t>
      </w:r>
      <w:r w:rsidRPr="00092496">
        <w:rPr>
          <w:rFonts w:cstheme="minorHAnsi"/>
          <w:sz w:val="24"/>
          <w:szCs w:val="24"/>
          <w:u w:val="single"/>
        </w:rPr>
        <w:t>acquisizione della documentazione e dell'informazione antimafia</w:t>
      </w:r>
      <w:r w:rsidRPr="0085636C">
        <w:rPr>
          <w:rFonts w:cstheme="minorHAnsi"/>
          <w:sz w:val="24"/>
          <w:szCs w:val="24"/>
        </w:rPr>
        <w:t xml:space="preserve"> per i terreni agricoli che usufruiscono di fondi europei per importi non superiori a 25.000 euro. Tale misura si rende opportuna e necessaria al fine di evitare un ulteriore aggravio burocratico per una quota rilevante del sistema imprenditoriale agricolo nazionale già alle prese con difficoltà, ormai sempre più strutturali, derivanti da oneri amministrativi legati ai metodi e ai tempi di pagamento della politica agricola comune.  </w:t>
      </w:r>
    </w:p>
    <w:p w14:paraId="330FFF44" w14:textId="77777777" w:rsidR="009316EC" w:rsidRDefault="009316EC">
      <w:pPr>
        <w:rPr>
          <w:rFonts w:ascii="Arial" w:hAnsi="Arial" w:cs="Arial"/>
          <w:sz w:val="24"/>
          <w:szCs w:val="24"/>
        </w:rPr>
      </w:pPr>
    </w:p>
    <w:p w14:paraId="07C09B7D" w14:textId="77777777" w:rsidR="0085636C" w:rsidRPr="0085636C" w:rsidRDefault="0085636C" w:rsidP="00124EAF">
      <w:pPr>
        <w:pBdr>
          <w:top w:val="single" w:sz="12" w:space="1" w:color="00B050"/>
          <w:left w:val="single" w:sz="12" w:space="4" w:color="00B050"/>
          <w:bottom w:val="single" w:sz="12" w:space="1" w:color="00B050"/>
          <w:right w:val="single" w:sz="12" w:space="4" w:color="00B050"/>
        </w:pBdr>
        <w:spacing w:after="120" w:line="240" w:lineRule="auto"/>
        <w:jc w:val="center"/>
        <w:rPr>
          <w:rFonts w:cstheme="minorHAnsi"/>
          <w:i/>
          <w:iCs/>
          <w:sz w:val="24"/>
          <w:szCs w:val="24"/>
        </w:rPr>
      </w:pPr>
      <w:r w:rsidRPr="0085636C">
        <w:rPr>
          <w:rFonts w:cstheme="minorHAnsi"/>
          <w:i/>
          <w:iCs/>
          <w:sz w:val="24"/>
          <w:szCs w:val="24"/>
        </w:rPr>
        <w:t xml:space="preserve">Art. </w:t>
      </w:r>
    </w:p>
    <w:p w14:paraId="0319BE57" w14:textId="77777777" w:rsidR="0085636C" w:rsidRPr="0085636C" w:rsidRDefault="0085636C" w:rsidP="00124EAF">
      <w:pPr>
        <w:pBdr>
          <w:top w:val="single" w:sz="12" w:space="1" w:color="00B050"/>
          <w:left w:val="single" w:sz="12" w:space="4" w:color="00B050"/>
          <w:bottom w:val="single" w:sz="12" w:space="1" w:color="00B050"/>
          <w:right w:val="single" w:sz="12" w:space="4" w:color="00B050"/>
        </w:pBdr>
        <w:spacing w:after="120" w:line="240" w:lineRule="auto"/>
        <w:jc w:val="center"/>
        <w:rPr>
          <w:rFonts w:cstheme="minorHAnsi"/>
          <w:i/>
          <w:iCs/>
          <w:sz w:val="24"/>
          <w:szCs w:val="24"/>
        </w:rPr>
      </w:pPr>
      <w:r w:rsidRPr="0085636C">
        <w:rPr>
          <w:rFonts w:cstheme="minorHAnsi"/>
          <w:i/>
          <w:iCs/>
          <w:sz w:val="24"/>
          <w:szCs w:val="24"/>
        </w:rPr>
        <w:t>(Modifiche alla legge 27 dicembre 2017, n. 205 )</w:t>
      </w:r>
    </w:p>
    <w:p w14:paraId="0DA7BE5D" w14:textId="77777777" w:rsidR="0085636C" w:rsidRPr="0085636C" w:rsidRDefault="0085636C" w:rsidP="00124EAF">
      <w:pPr>
        <w:pBdr>
          <w:top w:val="single" w:sz="12" w:space="1" w:color="00B050"/>
          <w:left w:val="single" w:sz="12" w:space="4" w:color="00B050"/>
          <w:bottom w:val="single" w:sz="12" w:space="1" w:color="00B050"/>
          <w:right w:val="single" w:sz="12" w:space="4" w:color="00B050"/>
        </w:pBdr>
        <w:spacing w:after="120" w:line="240" w:lineRule="auto"/>
        <w:jc w:val="both"/>
        <w:rPr>
          <w:rFonts w:cstheme="minorHAnsi"/>
          <w:i/>
          <w:iCs/>
          <w:sz w:val="24"/>
          <w:szCs w:val="24"/>
        </w:rPr>
      </w:pPr>
      <w:r w:rsidRPr="006666F9">
        <w:rPr>
          <w:rFonts w:cstheme="minorHAnsi"/>
          <w:color w:val="0C0C0F"/>
          <w:sz w:val="24"/>
          <w:szCs w:val="24"/>
          <w:shd w:val="clear" w:color="auto" w:fill="FFFFFF"/>
        </w:rPr>
        <w:t>All'articolo 1, comma 12, della legge 27 dicembre 2017, n. 205</w:t>
      </w:r>
      <w:r w:rsidRPr="0085636C">
        <w:rPr>
          <w:rFonts w:cstheme="minorHAnsi"/>
          <w:i/>
          <w:iCs/>
          <w:sz w:val="24"/>
          <w:szCs w:val="24"/>
        </w:rPr>
        <w:t>, le parole: «Per l'anno 2019 » sono sostituite dalle seguenti: «Per l'anno 2020».</w:t>
      </w:r>
    </w:p>
    <w:p w14:paraId="773EB673" w14:textId="77777777" w:rsidR="0085636C" w:rsidRPr="006666F9" w:rsidRDefault="0085636C" w:rsidP="00124EAF">
      <w:pPr>
        <w:pBdr>
          <w:top w:val="single" w:sz="12" w:space="1" w:color="00B050"/>
          <w:left w:val="single" w:sz="12" w:space="4" w:color="00B050"/>
          <w:bottom w:val="single" w:sz="12" w:space="1" w:color="00B050"/>
          <w:right w:val="single" w:sz="12" w:space="4" w:color="00B050"/>
        </w:pBdr>
        <w:spacing w:after="0" w:line="240" w:lineRule="auto"/>
        <w:jc w:val="both"/>
        <w:rPr>
          <w:rFonts w:cstheme="minorHAnsi"/>
          <w:b/>
          <w:iCs/>
          <w:sz w:val="24"/>
          <w:szCs w:val="24"/>
        </w:rPr>
      </w:pPr>
      <w:r w:rsidRPr="006666F9">
        <w:rPr>
          <w:rFonts w:cstheme="minorHAnsi"/>
          <w:b/>
          <w:iCs/>
          <w:sz w:val="24"/>
          <w:szCs w:val="24"/>
        </w:rPr>
        <w:t>Relazione:</w:t>
      </w:r>
    </w:p>
    <w:p w14:paraId="48017591" w14:textId="4232A193" w:rsidR="00D449F7" w:rsidRPr="006666F9" w:rsidRDefault="0085636C" w:rsidP="00124EAF">
      <w:pPr>
        <w:pBdr>
          <w:top w:val="single" w:sz="12" w:space="1" w:color="00B050"/>
          <w:left w:val="single" w:sz="12" w:space="4" w:color="00B050"/>
          <w:bottom w:val="single" w:sz="12" w:space="1" w:color="00B050"/>
          <w:right w:val="single" w:sz="12" w:space="4" w:color="00B050"/>
        </w:pBdr>
        <w:spacing w:after="0" w:line="240" w:lineRule="auto"/>
        <w:jc w:val="both"/>
        <w:rPr>
          <w:rFonts w:cstheme="minorHAnsi"/>
          <w:iCs/>
          <w:sz w:val="24"/>
          <w:szCs w:val="24"/>
        </w:rPr>
      </w:pPr>
      <w:r w:rsidRPr="006666F9">
        <w:rPr>
          <w:rFonts w:cstheme="minorHAnsi"/>
          <w:iCs/>
          <w:sz w:val="24"/>
          <w:szCs w:val="24"/>
        </w:rPr>
        <w:t>Il “</w:t>
      </w:r>
      <w:r w:rsidRPr="00092496">
        <w:rPr>
          <w:rFonts w:cstheme="minorHAnsi"/>
          <w:sz w:val="24"/>
          <w:szCs w:val="24"/>
          <w:u w:val="single"/>
        </w:rPr>
        <w:t xml:space="preserve">Bonus </w:t>
      </w:r>
      <w:r w:rsidR="00D449F7">
        <w:rPr>
          <w:rFonts w:cstheme="minorHAnsi"/>
          <w:sz w:val="24"/>
          <w:szCs w:val="24"/>
          <w:u w:val="single"/>
        </w:rPr>
        <w:t>v</w:t>
      </w:r>
      <w:r w:rsidRPr="00092496">
        <w:rPr>
          <w:rFonts w:cstheme="minorHAnsi"/>
          <w:sz w:val="24"/>
          <w:szCs w:val="24"/>
          <w:u w:val="single"/>
        </w:rPr>
        <w:t>erde</w:t>
      </w:r>
      <w:r w:rsidRPr="00D449F7">
        <w:rPr>
          <w:rFonts w:cstheme="minorHAnsi"/>
          <w:sz w:val="24"/>
          <w:szCs w:val="24"/>
        </w:rPr>
        <w:t>”,</w:t>
      </w:r>
      <w:r w:rsidRPr="006666F9">
        <w:rPr>
          <w:rFonts w:cstheme="minorHAnsi"/>
          <w:iCs/>
          <w:sz w:val="24"/>
          <w:szCs w:val="24"/>
        </w:rPr>
        <w:t xml:space="preserve"> introdotto dalla legge 27 dicembre 2017, n. 205 e attraverso il quale le persone fisiche possono detrarre dalle imposte sui redditi il 36% delle spese sostenute (fino a 5000 euro per unità abitativa) per interventi di sistemazione a verde, realizzazione di coperture a verde e giardini pensili, ha rappresentato un importante strumento sul fronte dello sviluppo sostenibile e della valorizzazione del verde urbano. A tal riguardo, in vista della scadenza dell’incentivo prevista per il 31/12/2019 si ritiene utile e strategico proporre la proroga dello strumento.</w:t>
      </w:r>
    </w:p>
    <w:p w14:paraId="24D62E9C" w14:textId="77777777" w:rsidR="0085636C" w:rsidRDefault="0085636C" w:rsidP="00D80524">
      <w:pPr>
        <w:tabs>
          <w:tab w:val="left" w:pos="1338"/>
        </w:tabs>
        <w:jc w:val="both"/>
        <w:rPr>
          <w:rFonts w:ascii="Arial" w:hAnsi="Arial" w:cs="Arial"/>
          <w:sz w:val="24"/>
          <w:szCs w:val="24"/>
        </w:rPr>
      </w:pPr>
    </w:p>
    <w:p w14:paraId="47C6E1E6" w14:textId="77777777" w:rsidR="00124EAF" w:rsidRDefault="00124EAF" w:rsidP="00D80524">
      <w:pPr>
        <w:tabs>
          <w:tab w:val="left" w:pos="1338"/>
        </w:tabs>
        <w:jc w:val="both"/>
        <w:rPr>
          <w:rFonts w:ascii="Arial" w:hAnsi="Arial" w:cs="Arial"/>
          <w:sz w:val="24"/>
          <w:szCs w:val="24"/>
        </w:rPr>
      </w:pPr>
    </w:p>
    <w:p w14:paraId="33D51C7B" w14:textId="77777777" w:rsidR="00124EAF" w:rsidRDefault="00124EAF" w:rsidP="00D80524">
      <w:pPr>
        <w:tabs>
          <w:tab w:val="left" w:pos="1338"/>
        </w:tabs>
        <w:jc w:val="both"/>
        <w:rPr>
          <w:rFonts w:ascii="Arial" w:hAnsi="Arial" w:cs="Arial"/>
          <w:sz w:val="24"/>
          <w:szCs w:val="24"/>
        </w:rPr>
      </w:pPr>
    </w:p>
    <w:p w14:paraId="11B2720E" w14:textId="77777777" w:rsidR="00092496" w:rsidRDefault="00092496" w:rsidP="00124EAF">
      <w:pPr>
        <w:pBdr>
          <w:top w:val="single" w:sz="12" w:space="1" w:color="00B050"/>
          <w:left w:val="single" w:sz="12" w:space="4" w:color="00B050"/>
          <w:bottom w:val="single" w:sz="12" w:space="1" w:color="00B050"/>
          <w:right w:val="single" w:sz="12" w:space="4" w:color="00B050"/>
        </w:pBdr>
        <w:spacing w:after="120" w:line="240" w:lineRule="auto"/>
        <w:jc w:val="center"/>
        <w:rPr>
          <w:rFonts w:cstheme="minorHAnsi"/>
          <w:i/>
          <w:iCs/>
          <w:sz w:val="24"/>
          <w:szCs w:val="24"/>
        </w:rPr>
      </w:pPr>
      <w:r w:rsidRPr="0085636C">
        <w:rPr>
          <w:rFonts w:cstheme="minorHAnsi"/>
          <w:i/>
          <w:iCs/>
          <w:sz w:val="24"/>
          <w:szCs w:val="24"/>
        </w:rPr>
        <w:lastRenderedPageBreak/>
        <w:t xml:space="preserve">Art. </w:t>
      </w:r>
    </w:p>
    <w:p w14:paraId="05CE2EA0" w14:textId="77777777" w:rsidR="00092496" w:rsidRPr="00200ABC" w:rsidRDefault="00092496" w:rsidP="00124EAF">
      <w:pPr>
        <w:pBdr>
          <w:top w:val="single" w:sz="12" w:space="1" w:color="00B050"/>
          <w:left w:val="single" w:sz="12" w:space="4" w:color="00B050"/>
          <w:bottom w:val="single" w:sz="12" w:space="1" w:color="00B050"/>
          <w:right w:val="single" w:sz="12" w:space="4" w:color="00B050"/>
        </w:pBdr>
        <w:spacing w:after="120" w:line="240" w:lineRule="auto"/>
        <w:jc w:val="center"/>
        <w:rPr>
          <w:rFonts w:eastAsia="Times New Roman" w:cstheme="minorHAnsi"/>
          <w:i/>
          <w:color w:val="222222"/>
          <w:sz w:val="24"/>
          <w:szCs w:val="24"/>
          <w:lang w:eastAsia="it-IT"/>
        </w:rPr>
      </w:pPr>
      <w:r w:rsidRPr="00200ABC">
        <w:rPr>
          <w:rFonts w:eastAsia="Times New Roman" w:cstheme="minorHAnsi"/>
          <w:i/>
          <w:color w:val="222222"/>
          <w:sz w:val="24"/>
          <w:szCs w:val="24"/>
          <w:lang w:eastAsia="it-IT"/>
        </w:rPr>
        <w:t>(Ammodernamento macchine agricole e forestali)</w:t>
      </w:r>
    </w:p>
    <w:p w14:paraId="51DF51B1" w14:textId="0BCBE8C8" w:rsidR="00092496" w:rsidRDefault="00092496" w:rsidP="00124EAF">
      <w:pPr>
        <w:pBdr>
          <w:top w:val="single" w:sz="12" w:space="1" w:color="00B050"/>
          <w:left w:val="single" w:sz="12" w:space="4" w:color="00B050"/>
          <w:bottom w:val="single" w:sz="12" w:space="1" w:color="00B050"/>
          <w:right w:val="single" w:sz="12" w:space="4" w:color="00B050"/>
        </w:pBdr>
        <w:spacing w:after="120" w:line="240" w:lineRule="auto"/>
        <w:jc w:val="both"/>
        <w:rPr>
          <w:rFonts w:cstheme="minorHAnsi"/>
          <w:sz w:val="24"/>
          <w:szCs w:val="24"/>
        </w:rPr>
      </w:pPr>
      <w:r>
        <w:rPr>
          <w:rFonts w:cstheme="minorHAnsi"/>
          <w:sz w:val="24"/>
          <w:szCs w:val="24"/>
        </w:rPr>
        <w:t>1.</w:t>
      </w:r>
      <w:r w:rsidRPr="00092496">
        <w:rPr>
          <w:rFonts w:cstheme="minorHAnsi"/>
          <w:sz w:val="24"/>
          <w:szCs w:val="24"/>
        </w:rPr>
        <w:t>Al fine di favorire la sicurezza sul lavoro agricolo, di contribuire alla sicurezza dei lavoratori e di promuovere la diffusione dell’innovazione sostenibile nel settore agricolo, è istituito, nello stato di previsione del Ministero delle politiche agricole alimentari e forestali Il Fondo per il rinnovamento dell</w:t>
      </w:r>
      <w:r w:rsidR="00D449F7">
        <w:rPr>
          <w:rFonts w:cstheme="minorHAnsi"/>
          <w:sz w:val="24"/>
          <w:szCs w:val="24"/>
        </w:rPr>
        <w:t>e</w:t>
      </w:r>
      <w:r w:rsidRPr="00092496">
        <w:rPr>
          <w:rFonts w:cstheme="minorHAnsi"/>
          <w:sz w:val="24"/>
          <w:szCs w:val="24"/>
        </w:rPr>
        <w:t xml:space="preserve"> macchine agricole e forestali</w:t>
      </w:r>
      <w:r w:rsidR="00D449F7">
        <w:rPr>
          <w:rFonts w:cstheme="minorHAnsi"/>
          <w:sz w:val="24"/>
          <w:szCs w:val="24"/>
        </w:rPr>
        <w:t>,</w:t>
      </w:r>
      <w:r w:rsidRPr="00092496">
        <w:rPr>
          <w:rFonts w:cstheme="minorHAnsi"/>
          <w:sz w:val="24"/>
          <w:szCs w:val="24"/>
        </w:rPr>
        <w:t xml:space="preserve"> con una dotazione finanziaria pari a 15 milioni di euro per ciascuno degli anni 2020, 2021 e 2022.</w:t>
      </w:r>
    </w:p>
    <w:p w14:paraId="7F4DDB86" w14:textId="28AE0957" w:rsidR="00092496" w:rsidRDefault="00092496" w:rsidP="00124EAF">
      <w:pPr>
        <w:pBdr>
          <w:top w:val="single" w:sz="12" w:space="1" w:color="00B050"/>
          <w:left w:val="single" w:sz="12" w:space="4" w:color="00B050"/>
          <w:bottom w:val="single" w:sz="12" w:space="1" w:color="00B050"/>
          <w:right w:val="single" w:sz="12" w:space="4" w:color="00B050"/>
        </w:pBdr>
        <w:spacing w:after="120" w:line="240" w:lineRule="auto"/>
        <w:jc w:val="both"/>
        <w:rPr>
          <w:rFonts w:cstheme="minorHAnsi"/>
          <w:color w:val="222222"/>
          <w:sz w:val="24"/>
          <w:szCs w:val="24"/>
        </w:rPr>
      </w:pPr>
      <w:r>
        <w:rPr>
          <w:rFonts w:cstheme="minorHAnsi"/>
          <w:sz w:val="24"/>
          <w:szCs w:val="24"/>
        </w:rPr>
        <w:t>2.</w:t>
      </w:r>
      <w:r w:rsidRPr="00092496">
        <w:rPr>
          <w:rFonts w:cstheme="minorHAnsi"/>
          <w:sz w:val="24"/>
          <w:szCs w:val="24"/>
        </w:rPr>
        <w:t>Il Fondo di cui al comma precedente</w:t>
      </w:r>
      <w:r w:rsidR="00D449F7">
        <w:rPr>
          <w:rFonts w:cstheme="minorHAnsi"/>
          <w:sz w:val="24"/>
          <w:szCs w:val="24"/>
        </w:rPr>
        <w:t>,</w:t>
      </w:r>
      <w:r w:rsidRPr="00092496">
        <w:rPr>
          <w:rFonts w:cstheme="minorHAnsi"/>
          <w:sz w:val="24"/>
          <w:szCs w:val="24"/>
        </w:rPr>
        <w:t xml:space="preserve"> è volto a incentivare il processo di rinnovamento del parco macchine esistente</w:t>
      </w:r>
      <w:r w:rsidRPr="00092496">
        <w:rPr>
          <w:rFonts w:cstheme="minorHAnsi"/>
          <w:color w:val="222222"/>
          <w:sz w:val="24"/>
          <w:szCs w:val="24"/>
        </w:rPr>
        <w:t xml:space="preserve"> attraverso l’acquisto di trattrici e macchine operatrici per l’uso agricolo e forestale da parte di imprenditori agricoli ai sensi dell’articolo 2135 del </w:t>
      </w:r>
      <w:proofErr w:type="gramStart"/>
      <w:r w:rsidRPr="00092496">
        <w:rPr>
          <w:rFonts w:cstheme="minorHAnsi"/>
          <w:color w:val="222222"/>
          <w:sz w:val="24"/>
          <w:szCs w:val="24"/>
        </w:rPr>
        <w:t>Codice Civile</w:t>
      </w:r>
      <w:proofErr w:type="gramEnd"/>
      <w:r w:rsidRPr="00092496">
        <w:rPr>
          <w:rFonts w:cstheme="minorHAnsi"/>
          <w:color w:val="222222"/>
          <w:sz w:val="24"/>
          <w:szCs w:val="24"/>
        </w:rPr>
        <w:t xml:space="preserve"> che si impegnano a rottamare una macchina agricola immatricolata prima del 01/01/1991.  </w:t>
      </w:r>
    </w:p>
    <w:p w14:paraId="68EB96EB" w14:textId="77777777" w:rsidR="00092496" w:rsidRDefault="00092496" w:rsidP="00124EAF">
      <w:pPr>
        <w:pBdr>
          <w:top w:val="single" w:sz="12" w:space="1" w:color="00B050"/>
          <w:left w:val="single" w:sz="12" w:space="4" w:color="00B050"/>
          <w:bottom w:val="single" w:sz="12" w:space="1" w:color="00B050"/>
          <w:right w:val="single" w:sz="12" w:space="4" w:color="00B050"/>
        </w:pBdr>
        <w:spacing w:after="120" w:line="240" w:lineRule="auto"/>
        <w:jc w:val="both"/>
        <w:rPr>
          <w:rFonts w:cstheme="minorHAnsi"/>
          <w:sz w:val="24"/>
          <w:szCs w:val="24"/>
        </w:rPr>
      </w:pPr>
      <w:r>
        <w:rPr>
          <w:rFonts w:cstheme="minorHAnsi"/>
          <w:sz w:val="24"/>
          <w:szCs w:val="24"/>
        </w:rPr>
        <w:t>3.</w:t>
      </w:r>
      <w:r w:rsidRPr="00092496">
        <w:rPr>
          <w:rFonts w:cstheme="minorHAnsi"/>
          <w:sz w:val="24"/>
          <w:szCs w:val="24"/>
        </w:rPr>
        <w:t>Gli interventi finanziati con le risorse del Fondo sono erogati alle condizioni previste dal regolamento (UE) n.1408/2013 della Commissione, del 18   dicembre 2013, relativo all'applicazione degli articoli 107 e 108 del Trattato sul funzionamento dell'Unione Europea agli aiuti «</w:t>
      </w:r>
      <w:r w:rsidRPr="00092496">
        <w:rPr>
          <w:rFonts w:cstheme="minorHAnsi"/>
          <w:i/>
          <w:iCs/>
          <w:sz w:val="24"/>
          <w:szCs w:val="24"/>
        </w:rPr>
        <w:t xml:space="preserve">de </w:t>
      </w:r>
      <w:proofErr w:type="spellStart"/>
      <w:r w:rsidRPr="00092496">
        <w:rPr>
          <w:rFonts w:cstheme="minorHAnsi"/>
          <w:i/>
          <w:iCs/>
          <w:sz w:val="24"/>
          <w:szCs w:val="24"/>
        </w:rPr>
        <w:t>minimis</w:t>
      </w:r>
      <w:proofErr w:type="spellEnd"/>
      <w:r w:rsidRPr="00092496">
        <w:rPr>
          <w:rFonts w:cstheme="minorHAnsi"/>
          <w:sz w:val="24"/>
          <w:szCs w:val="24"/>
        </w:rPr>
        <w:t>» nel settore agricolo.</w:t>
      </w:r>
    </w:p>
    <w:p w14:paraId="5953C341" w14:textId="1EF6B271" w:rsidR="00D449F7" w:rsidRPr="00092496" w:rsidRDefault="00092496" w:rsidP="00124EAF">
      <w:pPr>
        <w:pBdr>
          <w:top w:val="single" w:sz="12" w:space="1" w:color="00B050"/>
          <w:left w:val="single" w:sz="12" w:space="4" w:color="00B050"/>
          <w:bottom w:val="single" w:sz="12" w:space="1" w:color="00B050"/>
          <w:right w:val="single" w:sz="12" w:space="4" w:color="00B050"/>
        </w:pBdr>
        <w:spacing w:after="120" w:line="240" w:lineRule="auto"/>
        <w:jc w:val="both"/>
        <w:rPr>
          <w:rFonts w:cstheme="minorHAnsi"/>
          <w:sz w:val="24"/>
          <w:szCs w:val="24"/>
        </w:rPr>
      </w:pPr>
      <w:r>
        <w:rPr>
          <w:rFonts w:cstheme="minorHAnsi"/>
          <w:color w:val="222222"/>
          <w:sz w:val="24"/>
          <w:szCs w:val="24"/>
        </w:rPr>
        <w:t>4.</w:t>
      </w:r>
      <w:r w:rsidRPr="00092496">
        <w:rPr>
          <w:rFonts w:cstheme="minorHAnsi"/>
          <w:color w:val="222222"/>
          <w:sz w:val="24"/>
          <w:szCs w:val="24"/>
        </w:rPr>
        <w:t xml:space="preserve">Con decreto di natura non regolamentare del Ministro delle politiche agricole alimentari, forestali e del turismo, </w:t>
      </w:r>
      <w:r w:rsidRPr="00092496">
        <w:rPr>
          <w:rFonts w:cstheme="minorHAnsi"/>
          <w:sz w:val="24"/>
          <w:szCs w:val="24"/>
        </w:rPr>
        <w:t xml:space="preserve">e sentita la Conferenza unificata, entro il termine di novanta giorni dalla data di entrata in vigore della presente legge, sono stabilite le condizioni, i criteri e le modalità </w:t>
      </w:r>
      <w:r w:rsidRPr="00092496">
        <w:rPr>
          <w:rFonts w:cstheme="minorHAnsi"/>
          <w:color w:val="222222"/>
          <w:sz w:val="24"/>
          <w:szCs w:val="24"/>
        </w:rPr>
        <w:t>gestione ed erogazione del fondo di cui al comma 1</w:t>
      </w:r>
      <w:r w:rsidRPr="00092496">
        <w:rPr>
          <w:rFonts w:cstheme="minorHAnsi"/>
          <w:sz w:val="24"/>
          <w:szCs w:val="24"/>
        </w:rPr>
        <w:t xml:space="preserve">. </w:t>
      </w:r>
    </w:p>
    <w:p w14:paraId="58E443F9" w14:textId="77777777" w:rsidR="00092496" w:rsidRDefault="00092496" w:rsidP="009316EC">
      <w:pPr>
        <w:rPr>
          <w:rFonts w:ascii="Arial" w:hAnsi="Arial" w:cs="Arial"/>
          <w:sz w:val="24"/>
          <w:szCs w:val="24"/>
        </w:rPr>
      </w:pPr>
    </w:p>
    <w:p w14:paraId="48109FB7" w14:textId="77777777" w:rsidR="00200ABC" w:rsidRPr="00200ABC" w:rsidRDefault="00200ABC" w:rsidP="00200ABC">
      <w:pPr>
        <w:pBdr>
          <w:top w:val="single" w:sz="12" w:space="1" w:color="00B050"/>
          <w:left w:val="single" w:sz="12" w:space="4" w:color="00B050"/>
          <w:bottom w:val="single" w:sz="12" w:space="1" w:color="00B050"/>
          <w:right w:val="single" w:sz="12" w:space="4" w:color="00B050"/>
        </w:pBdr>
        <w:spacing w:after="120"/>
        <w:jc w:val="center"/>
        <w:rPr>
          <w:rFonts w:cstheme="minorHAnsi"/>
          <w:i/>
          <w:iCs/>
          <w:sz w:val="24"/>
          <w:szCs w:val="24"/>
        </w:rPr>
      </w:pPr>
      <w:r w:rsidRPr="00200ABC">
        <w:rPr>
          <w:rFonts w:cstheme="minorHAnsi"/>
          <w:i/>
          <w:iCs/>
          <w:sz w:val="24"/>
          <w:szCs w:val="24"/>
        </w:rPr>
        <w:t xml:space="preserve">Art </w:t>
      </w:r>
    </w:p>
    <w:p w14:paraId="40CC1DC6" w14:textId="77777777" w:rsidR="00200ABC" w:rsidRPr="00200ABC" w:rsidRDefault="00200ABC" w:rsidP="00200ABC">
      <w:pPr>
        <w:pBdr>
          <w:top w:val="single" w:sz="12" w:space="1" w:color="00B050"/>
          <w:left w:val="single" w:sz="12" w:space="4" w:color="00B050"/>
          <w:bottom w:val="single" w:sz="12" w:space="1" w:color="00B050"/>
          <w:right w:val="single" w:sz="12" w:space="4" w:color="00B050"/>
        </w:pBdr>
        <w:spacing w:after="120"/>
        <w:jc w:val="center"/>
        <w:rPr>
          <w:rFonts w:cstheme="minorHAnsi"/>
          <w:i/>
          <w:iCs/>
          <w:sz w:val="24"/>
          <w:szCs w:val="24"/>
        </w:rPr>
      </w:pPr>
      <w:r w:rsidRPr="00200ABC">
        <w:rPr>
          <w:rFonts w:cstheme="minorHAnsi"/>
          <w:i/>
          <w:iCs/>
          <w:sz w:val="24"/>
          <w:szCs w:val="24"/>
        </w:rPr>
        <w:t>(modifiche alla legge 29 ottobre 2016 n.199)</w:t>
      </w:r>
    </w:p>
    <w:p w14:paraId="719F1D27" w14:textId="77777777" w:rsidR="00200ABC" w:rsidRDefault="00200ABC" w:rsidP="00124EAF">
      <w:pPr>
        <w:pBdr>
          <w:top w:val="single" w:sz="12" w:space="1" w:color="00B050"/>
          <w:left w:val="single" w:sz="12" w:space="4" w:color="00B050"/>
          <w:bottom w:val="single" w:sz="12" w:space="1" w:color="00B050"/>
          <w:right w:val="single" w:sz="12" w:space="4" w:color="00B050"/>
        </w:pBdr>
        <w:spacing w:after="120" w:line="240" w:lineRule="auto"/>
        <w:jc w:val="both"/>
        <w:rPr>
          <w:rFonts w:cstheme="minorHAnsi"/>
          <w:iCs/>
          <w:sz w:val="24"/>
          <w:szCs w:val="24"/>
        </w:rPr>
      </w:pPr>
      <w:r w:rsidRPr="00200ABC">
        <w:rPr>
          <w:rFonts w:cstheme="minorHAnsi"/>
          <w:iCs/>
          <w:sz w:val="24"/>
          <w:szCs w:val="24"/>
        </w:rPr>
        <w:t xml:space="preserve">All'articolo 8, comma 2, della legge 29 ottobre 2016, n.  199, </w:t>
      </w:r>
      <w:r w:rsidRPr="00200ABC">
        <w:rPr>
          <w:rFonts w:cstheme="minorHAnsi"/>
          <w:i/>
          <w:iCs/>
          <w:sz w:val="24"/>
          <w:szCs w:val="24"/>
        </w:rPr>
        <w:t>le parole</w:t>
      </w:r>
      <w:r w:rsidRPr="00200ABC">
        <w:rPr>
          <w:rFonts w:cstheme="minorHAnsi"/>
          <w:iCs/>
          <w:sz w:val="24"/>
          <w:szCs w:val="24"/>
        </w:rPr>
        <w:t xml:space="preserve">: « gennaio 2020 » </w:t>
      </w:r>
      <w:r w:rsidRPr="00200ABC">
        <w:rPr>
          <w:rFonts w:cstheme="minorHAnsi"/>
          <w:i/>
          <w:iCs/>
          <w:sz w:val="24"/>
          <w:szCs w:val="24"/>
        </w:rPr>
        <w:t>sono</w:t>
      </w:r>
      <w:r w:rsidRPr="00200ABC">
        <w:rPr>
          <w:rFonts w:cstheme="minorHAnsi"/>
          <w:iCs/>
          <w:sz w:val="24"/>
          <w:szCs w:val="24"/>
        </w:rPr>
        <w:t xml:space="preserve"> </w:t>
      </w:r>
      <w:r w:rsidRPr="00200ABC">
        <w:rPr>
          <w:rFonts w:cstheme="minorHAnsi"/>
          <w:i/>
          <w:iCs/>
          <w:sz w:val="24"/>
          <w:szCs w:val="24"/>
        </w:rPr>
        <w:t>sostituite dalle seguenti</w:t>
      </w:r>
      <w:r w:rsidRPr="00200ABC">
        <w:rPr>
          <w:rFonts w:cstheme="minorHAnsi"/>
          <w:iCs/>
          <w:sz w:val="24"/>
          <w:szCs w:val="24"/>
        </w:rPr>
        <w:t xml:space="preserve">: « gennaio 2021». </w:t>
      </w:r>
    </w:p>
    <w:p w14:paraId="002E5469" w14:textId="77777777" w:rsidR="00200ABC" w:rsidRPr="00200ABC" w:rsidRDefault="00200ABC" w:rsidP="00124EAF">
      <w:pPr>
        <w:pBdr>
          <w:top w:val="single" w:sz="12" w:space="1" w:color="00B050"/>
          <w:left w:val="single" w:sz="12" w:space="4" w:color="00B050"/>
          <w:bottom w:val="single" w:sz="12" w:space="1" w:color="00B050"/>
          <w:right w:val="single" w:sz="12" w:space="4" w:color="00B050"/>
        </w:pBdr>
        <w:spacing w:after="0" w:line="240" w:lineRule="auto"/>
        <w:jc w:val="both"/>
        <w:rPr>
          <w:rFonts w:cstheme="minorHAnsi"/>
          <w:iCs/>
          <w:sz w:val="24"/>
          <w:szCs w:val="24"/>
        </w:rPr>
      </w:pPr>
      <w:r w:rsidRPr="00200ABC">
        <w:rPr>
          <w:rFonts w:cstheme="minorHAnsi"/>
          <w:b/>
          <w:iCs/>
          <w:sz w:val="24"/>
          <w:szCs w:val="24"/>
        </w:rPr>
        <w:t>Relazione:</w:t>
      </w:r>
    </w:p>
    <w:p w14:paraId="1B7E0508" w14:textId="79285DD5" w:rsidR="00D449F7" w:rsidRPr="00D449F7" w:rsidRDefault="00200ABC" w:rsidP="00124EAF">
      <w:pPr>
        <w:pBdr>
          <w:top w:val="single" w:sz="12" w:space="1" w:color="00B050"/>
          <w:left w:val="single" w:sz="12" w:space="4" w:color="00B050"/>
          <w:bottom w:val="single" w:sz="12" w:space="1" w:color="00B050"/>
          <w:right w:val="single" w:sz="12" w:space="4" w:color="00B050"/>
        </w:pBdr>
        <w:spacing w:after="0" w:line="240" w:lineRule="auto"/>
        <w:jc w:val="both"/>
        <w:rPr>
          <w:sz w:val="24"/>
          <w:szCs w:val="24"/>
        </w:rPr>
      </w:pPr>
      <w:r w:rsidRPr="00200ABC">
        <w:rPr>
          <w:sz w:val="24"/>
          <w:szCs w:val="24"/>
        </w:rPr>
        <w:t xml:space="preserve">Il comma 2 dell’articolo 8 della legge n. 199 del 2016, così come modificato dalla legge 30 dicembre 2018, n. 145 prevede che, nelle more dell’attuazione del Libro unico del lavoro (LUL), di cui all’articolo 39 del decreto-legge n. 112 del 2008, convertito dalla legge n. 133 del 2008, l’adattamento del sistema </w:t>
      </w:r>
      <w:proofErr w:type="spellStart"/>
      <w:r w:rsidRPr="00200ABC">
        <w:rPr>
          <w:sz w:val="24"/>
          <w:szCs w:val="24"/>
        </w:rPr>
        <w:t>Uniemens</w:t>
      </w:r>
      <w:proofErr w:type="spellEnd"/>
      <w:r w:rsidRPr="00200ABC">
        <w:rPr>
          <w:sz w:val="24"/>
          <w:szCs w:val="24"/>
        </w:rPr>
        <w:t xml:space="preserve"> al settore agricolo abbia effetto sulle retribuzioni dovute a partire dal mese di gennaio 2020. Sempre ai sensi dell’articolo 8, comma 2, della citata legge n. 199 del 2016, il LUL in modalità telematica sostituisce il sistema </w:t>
      </w:r>
      <w:proofErr w:type="spellStart"/>
      <w:r w:rsidRPr="00200ABC">
        <w:rPr>
          <w:sz w:val="24"/>
          <w:szCs w:val="24"/>
        </w:rPr>
        <w:t>Uniemens</w:t>
      </w:r>
      <w:proofErr w:type="spellEnd"/>
      <w:r w:rsidRPr="00200ABC">
        <w:rPr>
          <w:sz w:val="24"/>
          <w:szCs w:val="24"/>
        </w:rPr>
        <w:t xml:space="preserve">. Si propone quindi, in attesa del decreto attuativo dell’articolo 15 del decreto legislativo n. 151 del 2015, che,  corrispondentemente, l’effetto sulle retribuzioni dovute dalle imprese agricole decorra a partire dal mese di gennaio 2021 in considerazione del tempo necessario per l’adeguamento alle modalità tecniche e telematiche che tuttora non sono state precisate. Il passaggio dal LUL cartaceo al LUL telematico rappresenta un adeguamento del tutto innovativo per le imprese in generale e per quelle agricole in particolare, per cui, anche ad evitare difficoltà di gestione è opportuno prevedere un tempo ragionevolmente adeguato </w:t>
      </w:r>
      <w:proofErr w:type="gramStart"/>
      <w:r w:rsidRPr="00200ABC">
        <w:rPr>
          <w:sz w:val="24"/>
          <w:szCs w:val="24"/>
        </w:rPr>
        <w:t>per l’adattamento</w:t>
      </w:r>
      <w:proofErr w:type="gramEnd"/>
      <w:r w:rsidRPr="00200ABC">
        <w:rPr>
          <w:sz w:val="24"/>
          <w:szCs w:val="24"/>
        </w:rPr>
        <w:t xml:space="preserve"> alle nuove modalità telematiche</w:t>
      </w:r>
      <w:r w:rsidR="00D449F7">
        <w:rPr>
          <w:sz w:val="24"/>
          <w:szCs w:val="24"/>
        </w:rPr>
        <w:t>.</w:t>
      </w:r>
    </w:p>
    <w:p w14:paraId="3373541F" w14:textId="77777777" w:rsidR="006666F9" w:rsidRDefault="006666F9" w:rsidP="00D80524">
      <w:pPr>
        <w:tabs>
          <w:tab w:val="left" w:pos="1338"/>
        </w:tabs>
        <w:jc w:val="both"/>
        <w:rPr>
          <w:rFonts w:ascii="Arial" w:hAnsi="Arial" w:cs="Arial"/>
          <w:sz w:val="24"/>
          <w:szCs w:val="24"/>
        </w:rPr>
      </w:pPr>
    </w:p>
    <w:p w14:paraId="6A6F0988" w14:textId="77777777" w:rsidR="00C050B7" w:rsidRDefault="00C050B7" w:rsidP="00D80524">
      <w:pPr>
        <w:tabs>
          <w:tab w:val="left" w:pos="1338"/>
        </w:tabs>
        <w:jc w:val="both"/>
        <w:rPr>
          <w:rFonts w:ascii="Arial" w:hAnsi="Arial" w:cs="Arial"/>
          <w:sz w:val="24"/>
          <w:szCs w:val="24"/>
        </w:rPr>
      </w:pPr>
    </w:p>
    <w:p w14:paraId="40CDA705" w14:textId="77777777" w:rsidR="00C050B7" w:rsidRPr="00C050B7" w:rsidRDefault="00C050B7" w:rsidP="00C050B7">
      <w:pPr>
        <w:pBdr>
          <w:top w:val="single" w:sz="12" w:space="1" w:color="00B050"/>
          <w:left w:val="single" w:sz="12" w:space="4" w:color="00B050"/>
          <w:bottom w:val="single" w:sz="12" w:space="1" w:color="00B050"/>
          <w:right w:val="single" w:sz="12" w:space="4" w:color="00B050"/>
        </w:pBdr>
        <w:spacing w:after="120"/>
        <w:jc w:val="center"/>
        <w:rPr>
          <w:rFonts w:cstheme="minorHAnsi"/>
          <w:i/>
          <w:iCs/>
          <w:sz w:val="24"/>
          <w:szCs w:val="24"/>
        </w:rPr>
      </w:pPr>
      <w:r w:rsidRPr="00C050B7">
        <w:rPr>
          <w:rFonts w:cstheme="minorHAnsi"/>
          <w:i/>
          <w:iCs/>
          <w:sz w:val="24"/>
          <w:szCs w:val="24"/>
        </w:rPr>
        <w:t xml:space="preserve">Art </w:t>
      </w:r>
    </w:p>
    <w:p w14:paraId="2C8D4FAC" w14:textId="77777777" w:rsidR="00C050B7" w:rsidRPr="00C050B7" w:rsidRDefault="00C050B7" w:rsidP="00C050B7">
      <w:pPr>
        <w:pBdr>
          <w:top w:val="single" w:sz="12" w:space="1" w:color="00B050"/>
          <w:left w:val="single" w:sz="12" w:space="4" w:color="00B050"/>
          <w:bottom w:val="single" w:sz="12" w:space="1" w:color="00B050"/>
          <w:right w:val="single" w:sz="12" w:space="4" w:color="00B050"/>
        </w:pBdr>
        <w:spacing w:after="120"/>
        <w:jc w:val="center"/>
        <w:rPr>
          <w:rFonts w:cstheme="minorHAnsi"/>
          <w:i/>
          <w:iCs/>
          <w:sz w:val="24"/>
          <w:szCs w:val="24"/>
        </w:rPr>
      </w:pPr>
      <w:r w:rsidRPr="00C050B7">
        <w:rPr>
          <w:rFonts w:cstheme="minorHAnsi"/>
          <w:i/>
          <w:iCs/>
          <w:sz w:val="24"/>
          <w:szCs w:val="24"/>
        </w:rPr>
        <w:t xml:space="preserve"> (misure per il sostegno del settore uva da tavola)</w:t>
      </w:r>
    </w:p>
    <w:p w14:paraId="44363FB1" w14:textId="0C276716" w:rsidR="00C050B7" w:rsidRPr="00C050B7" w:rsidRDefault="00E42647" w:rsidP="00124EAF">
      <w:pPr>
        <w:pBdr>
          <w:top w:val="single" w:sz="12" w:space="1" w:color="00B050"/>
          <w:left w:val="single" w:sz="12" w:space="4" w:color="00B050"/>
          <w:bottom w:val="single" w:sz="12" w:space="1" w:color="00B050"/>
          <w:right w:val="single" w:sz="12" w:space="4" w:color="00B050"/>
        </w:pBdr>
        <w:spacing w:after="120" w:line="240" w:lineRule="auto"/>
        <w:jc w:val="both"/>
        <w:rPr>
          <w:rFonts w:cstheme="minorHAnsi"/>
          <w:iCs/>
          <w:sz w:val="24"/>
          <w:szCs w:val="24"/>
        </w:rPr>
      </w:pPr>
      <w:r>
        <w:rPr>
          <w:rFonts w:cstheme="minorHAnsi"/>
          <w:iCs/>
          <w:sz w:val="24"/>
          <w:szCs w:val="24"/>
        </w:rPr>
        <w:t>1.</w:t>
      </w:r>
      <w:r w:rsidR="00C050B7" w:rsidRPr="00C050B7">
        <w:rPr>
          <w:rFonts w:cstheme="minorHAnsi"/>
          <w:iCs/>
          <w:sz w:val="24"/>
          <w:szCs w:val="24"/>
        </w:rPr>
        <w:t>Nello stato di previsione del Ministero delle politiche agricole alimentari e forestali</w:t>
      </w:r>
      <w:r w:rsidR="00D449F7">
        <w:rPr>
          <w:rFonts w:cstheme="minorHAnsi"/>
          <w:iCs/>
          <w:sz w:val="24"/>
          <w:szCs w:val="24"/>
        </w:rPr>
        <w:t>,</w:t>
      </w:r>
      <w:r w:rsidR="00C050B7" w:rsidRPr="00C050B7">
        <w:rPr>
          <w:rFonts w:cstheme="minorHAnsi"/>
          <w:iCs/>
          <w:sz w:val="24"/>
          <w:szCs w:val="24"/>
        </w:rPr>
        <w:t xml:space="preserve"> è istituito il Fondo nazionale per l’uva da tavola, con una dotazione di 1 milione di euro per ciascuno degli anni 2020 e 2021 le cui risorse sono destinate a interventi volti a fare fronte alla perdita di reddito dei produttori di uva da tavola, a rafforzare i rapporti di filiera nel medesimo settore, a potenziare le attività di informazione e di promozione presso i consumatori, a migliorare la qualità dei medesimi prodotti, nonché a promuovere l’innovazione, anche attraverso il sostegno dei contratti di filiera. </w:t>
      </w:r>
    </w:p>
    <w:p w14:paraId="70364AB4" w14:textId="77777777" w:rsidR="00C050B7" w:rsidRPr="00C050B7" w:rsidRDefault="00E42647" w:rsidP="00124EAF">
      <w:pPr>
        <w:pBdr>
          <w:top w:val="single" w:sz="12" w:space="1" w:color="00B050"/>
          <w:left w:val="single" w:sz="12" w:space="4" w:color="00B050"/>
          <w:bottom w:val="single" w:sz="12" w:space="1" w:color="00B050"/>
          <w:right w:val="single" w:sz="12" w:space="4" w:color="00B050"/>
        </w:pBdr>
        <w:spacing w:after="120" w:line="240" w:lineRule="auto"/>
        <w:jc w:val="both"/>
        <w:rPr>
          <w:rFonts w:cstheme="minorHAnsi"/>
          <w:iCs/>
          <w:sz w:val="24"/>
          <w:szCs w:val="24"/>
        </w:rPr>
      </w:pPr>
      <w:r>
        <w:rPr>
          <w:rFonts w:cstheme="minorHAnsi"/>
          <w:iCs/>
          <w:sz w:val="24"/>
          <w:szCs w:val="24"/>
        </w:rPr>
        <w:t>2.</w:t>
      </w:r>
      <w:r w:rsidR="00C050B7" w:rsidRPr="00C050B7">
        <w:rPr>
          <w:rFonts w:cstheme="minorHAnsi"/>
          <w:iCs/>
          <w:sz w:val="24"/>
          <w:szCs w:val="24"/>
        </w:rPr>
        <w:t xml:space="preserve">Entro sessanta giorni dalla data di entrata in vigore della legge di conversione del presente decreto, con decreto del Ministro delle politiche agricole alimentari e forestali e del turismo, di concerto con il Ministro dell’economia e delle finanze, previa intesa in sede di Conferenza permanente per i rapporti tra lo Stato, le regioni e le province autonome di Trento e di Bolzano, sono definiti i criteri e le modalità di utilizzazione delle risorse del Fondo, nell’ambito di un apposito piano di interventi. </w:t>
      </w:r>
    </w:p>
    <w:p w14:paraId="6DDCE0B0" w14:textId="77777777" w:rsidR="00C050B7" w:rsidRPr="00C050B7" w:rsidRDefault="00E42647" w:rsidP="00124EAF">
      <w:pPr>
        <w:pBdr>
          <w:top w:val="single" w:sz="12" w:space="1" w:color="00B050"/>
          <w:left w:val="single" w:sz="12" w:space="4" w:color="00B050"/>
          <w:bottom w:val="single" w:sz="12" w:space="1" w:color="00B050"/>
          <w:right w:val="single" w:sz="12" w:space="4" w:color="00B050"/>
        </w:pBdr>
        <w:spacing w:after="120" w:line="240" w:lineRule="auto"/>
        <w:jc w:val="both"/>
        <w:rPr>
          <w:rFonts w:cstheme="minorHAnsi"/>
          <w:iCs/>
          <w:sz w:val="24"/>
          <w:szCs w:val="24"/>
        </w:rPr>
      </w:pPr>
      <w:r>
        <w:rPr>
          <w:rFonts w:cstheme="minorHAnsi"/>
          <w:iCs/>
          <w:sz w:val="24"/>
          <w:szCs w:val="24"/>
        </w:rPr>
        <w:t>3.</w:t>
      </w:r>
      <w:r w:rsidR="00C050B7" w:rsidRPr="00C050B7">
        <w:rPr>
          <w:rFonts w:cstheme="minorHAnsi"/>
          <w:iCs/>
          <w:sz w:val="24"/>
          <w:szCs w:val="24"/>
        </w:rPr>
        <w:t xml:space="preserve">Gli interventi finanziati con le risorse del Fondo di cui al comma 1 devono soddisfare le disposizioni stabilite dai regolamenti (UE) n. 1407/2013 e n. 1408/2013 della Commissione, del 18 dicembre 2013, relativi all’applicazione degli articoli 107 e 108 del Trattato sul funzionamento dell’Unione europea rispettivamente agli aiuti de </w:t>
      </w:r>
      <w:proofErr w:type="spellStart"/>
      <w:r w:rsidR="00C050B7" w:rsidRPr="00C050B7">
        <w:rPr>
          <w:rFonts w:cstheme="minorHAnsi"/>
          <w:iCs/>
          <w:sz w:val="24"/>
          <w:szCs w:val="24"/>
        </w:rPr>
        <w:t>minimis</w:t>
      </w:r>
      <w:proofErr w:type="spellEnd"/>
      <w:r w:rsidR="00C050B7" w:rsidRPr="00C050B7">
        <w:rPr>
          <w:rFonts w:cstheme="minorHAnsi"/>
          <w:iCs/>
          <w:sz w:val="24"/>
          <w:szCs w:val="24"/>
        </w:rPr>
        <w:t xml:space="preserve"> e agli aiuti de </w:t>
      </w:r>
      <w:proofErr w:type="spellStart"/>
      <w:r w:rsidR="00C050B7" w:rsidRPr="00C050B7">
        <w:rPr>
          <w:rFonts w:cstheme="minorHAnsi"/>
          <w:iCs/>
          <w:sz w:val="24"/>
          <w:szCs w:val="24"/>
        </w:rPr>
        <w:t>minimis</w:t>
      </w:r>
      <w:proofErr w:type="spellEnd"/>
      <w:r w:rsidR="00C050B7" w:rsidRPr="00C050B7">
        <w:rPr>
          <w:rFonts w:cstheme="minorHAnsi"/>
          <w:iCs/>
          <w:sz w:val="24"/>
          <w:szCs w:val="24"/>
        </w:rPr>
        <w:t xml:space="preserve"> nel settore agricolo</w:t>
      </w:r>
      <w:r>
        <w:rPr>
          <w:rFonts w:cstheme="minorHAnsi"/>
          <w:iCs/>
          <w:sz w:val="24"/>
          <w:szCs w:val="24"/>
        </w:rPr>
        <w:t>.</w:t>
      </w:r>
    </w:p>
    <w:p w14:paraId="4DA49F2C" w14:textId="77777777" w:rsidR="00C050B7" w:rsidRPr="00E42647" w:rsidRDefault="00C050B7" w:rsidP="00124EAF">
      <w:pPr>
        <w:pBdr>
          <w:top w:val="single" w:sz="12" w:space="1" w:color="00B050"/>
          <w:left w:val="single" w:sz="12" w:space="4" w:color="00B050"/>
          <w:bottom w:val="single" w:sz="12" w:space="1" w:color="00B050"/>
          <w:right w:val="single" w:sz="12" w:space="4" w:color="00B050"/>
        </w:pBdr>
        <w:spacing w:after="0" w:line="240" w:lineRule="auto"/>
        <w:jc w:val="both"/>
        <w:rPr>
          <w:rFonts w:cstheme="minorHAnsi"/>
          <w:b/>
          <w:iCs/>
          <w:sz w:val="24"/>
          <w:szCs w:val="24"/>
        </w:rPr>
      </w:pPr>
      <w:r w:rsidRPr="00E42647">
        <w:rPr>
          <w:rFonts w:cstheme="minorHAnsi"/>
          <w:b/>
          <w:iCs/>
          <w:sz w:val="24"/>
          <w:szCs w:val="24"/>
        </w:rPr>
        <w:t>Relazione:</w:t>
      </w:r>
    </w:p>
    <w:p w14:paraId="4C1A8E15" w14:textId="1CA4AAD8" w:rsidR="00D449F7" w:rsidRPr="00E42647" w:rsidRDefault="00E42647" w:rsidP="00124EAF">
      <w:pPr>
        <w:pBdr>
          <w:top w:val="single" w:sz="12" w:space="1" w:color="00B050"/>
          <w:left w:val="single" w:sz="12" w:space="4" w:color="00B050"/>
          <w:bottom w:val="single" w:sz="12" w:space="1" w:color="00B050"/>
          <w:right w:val="single" w:sz="12" w:space="4" w:color="00B050"/>
        </w:pBdr>
        <w:spacing w:after="0" w:line="240" w:lineRule="auto"/>
        <w:jc w:val="both"/>
        <w:rPr>
          <w:rFonts w:cstheme="minorHAnsi"/>
          <w:iCs/>
          <w:sz w:val="24"/>
          <w:szCs w:val="24"/>
        </w:rPr>
      </w:pPr>
      <w:r>
        <w:rPr>
          <w:rFonts w:cstheme="minorHAnsi"/>
          <w:iCs/>
          <w:sz w:val="24"/>
          <w:szCs w:val="24"/>
        </w:rPr>
        <w:t>Tra i comparti agricoli in crisi, quello</w:t>
      </w:r>
      <w:r w:rsidR="00C050B7" w:rsidRPr="00E42647">
        <w:rPr>
          <w:rFonts w:cstheme="minorHAnsi"/>
          <w:iCs/>
          <w:sz w:val="24"/>
          <w:szCs w:val="24"/>
        </w:rPr>
        <w:t xml:space="preserve"> </w:t>
      </w:r>
      <w:r w:rsidR="00C050B7" w:rsidRPr="00E42647">
        <w:rPr>
          <w:rFonts w:cstheme="minorHAnsi"/>
          <w:iCs/>
          <w:sz w:val="24"/>
          <w:szCs w:val="24"/>
          <w:u w:val="single"/>
        </w:rPr>
        <w:t>dell'uva da tavola</w:t>
      </w:r>
      <w:r w:rsidR="00C050B7" w:rsidRPr="00E42647">
        <w:rPr>
          <w:rFonts w:cstheme="minorHAnsi"/>
          <w:iCs/>
          <w:sz w:val="24"/>
          <w:szCs w:val="24"/>
        </w:rPr>
        <w:t xml:space="preserve"> sta vivendo una fase di profonda </w:t>
      </w:r>
      <w:r>
        <w:rPr>
          <w:rFonts w:cstheme="minorHAnsi"/>
          <w:iCs/>
          <w:sz w:val="24"/>
          <w:szCs w:val="24"/>
        </w:rPr>
        <w:t>difficoltà</w:t>
      </w:r>
      <w:r w:rsidR="00C050B7" w:rsidRPr="00E42647">
        <w:rPr>
          <w:rFonts w:cstheme="minorHAnsi"/>
          <w:iCs/>
          <w:sz w:val="24"/>
          <w:szCs w:val="24"/>
        </w:rPr>
        <w:t xml:space="preserve">. La campagna produttiva è molto complessa e per larga parte compromessa. I produttori ricevono una remunerazione molto bassa e spesso al di sotto dei costi di produzione. Sul fronte della distribuzione, i canali di sbocco (rappresentati in particolare dalla GDO) riescono a spuntare prezzi elevati ma non a vantaggio delle fasi a monte della filiera. Le vendite internazionali di uva Made in </w:t>
      </w:r>
      <w:proofErr w:type="spellStart"/>
      <w:r w:rsidR="00C050B7" w:rsidRPr="00E42647">
        <w:rPr>
          <w:rFonts w:cstheme="minorHAnsi"/>
          <w:iCs/>
          <w:sz w:val="24"/>
          <w:szCs w:val="24"/>
        </w:rPr>
        <w:t>Italy</w:t>
      </w:r>
      <w:proofErr w:type="spellEnd"/>
      <w:r w:rsidR="00C050B7" w:rsidRPr="00E42647">
        <w:rPr>
          <w:rFonts w:cstheme="minorHAnsi"/>
          <w:iCs/>
          <w:sz w:val="24"/>
          <w:szCs w:val="24"/>
        </w:rPr>
        <w:t xml:space="preserve"> sono in forte flessione mentre, sul mercato nazionale, le pressioni e la concorrenza proveniente dall'estero sono sempre più incisive. In tale contesto, si propone una misura di sostegno al settore al fine di rilanciarne le potenzialità e lo sviluppo competitivo. Tale misura, si sostanzia in un fondo nello stato di previsione del Ministero delle politiche agricole alimentari e forestali destinato ad interventi per fronteggiare la perdita di reddito dei produttori, per rafforzare i rapporti di filiera e potenziare le attività di informazione, promozione e d’innovazione.</w:t>
      </w:r>
    </w:p>
    <w:p w14:paraId="73E2DD1E" w14:textId="77777777" w:rsidR="00C050B7" w:rsidRDefault="00C050B7" w:rsidP="00D80524">
      <w:pPr>
        <w:tabs>
          <w:tab w:val="left" w:pos="1338"/>
        </w:tabs>
        <w:jc w:val="both"/>
        <w:rPr>
          <w:rFonts w:ascii="Arial" w:hAnsi="Arial" w:cs="Arial"/>
          <w:sz w:val="24"/>
          <w:szCs w:val="24"/>
        </w:rPr>
      </w:pPr>
    </w:p>
    <w:p w14:paraId="6149ACFA" w14:textId="77777777" w:rsidR="004037CA" w:rsidRDefault="004037CA">
      <w:pPr>
        <w:rPr>
          <w:rFonts w:ascii="Arial" w:hAnsi="Arial" w:cs="Arial"/>
          <w:sz w:val="24"/>
          <w:szCs w:val="24"/>
        </w:rPr>
      </w:pPr>
      <w:r>
        <w:rPr>
          <w:rFonts w:ascii="Arial" w:hAnsi="Arial" w:cs="Arial"/>
          <w:sz w:val="24"/>
          <w:szCs w:val="24"/>
        </w:rPr>
        <w:br w:type="page"/>
      </w:r>
    </w:p>
    <w:p w14:paraId="627DCE02" w14:textId="77777777" w:rsidR="004037CA" w:rsidRPr="004037CA" w:rsidRDefault="004037CA" w:rsidP="004037CA">
      <w:pPr>
        <w:pBdr>
          <w:top w:val="single" w:sz="12" w:space="1" w:color="00B050"/>
          <w:left w:val="single" w:sz="12" w:space="4" w:color="00B050"/>
          <w:bottom w:val="single" w:sz="12" w:space="1" w:color="00B050"/>
          <w:right w:val="single" w:sz="12" w:space="4" w:color="00B050"/>
        </w:pBdr>
        <w:spacing w:after="120"/>
        <w:jc w:val="center"/>
        <w:rPr>
          <w:rFonts w:cstheme="minorHAnsi"/>
          <w:i/>
          <w:iCs/>
          <w:sz w:val="24"/>
          <w:szCs w:val="24"/>
        </w:rPr>
      </w:pPr>
      <w:r w:rsidRPr="004037CA">
        <w:rPr>
          <w:rFonts w:cstheme="minorHAnsi"/>
          <w:i/>
          <w:iCs/>
          <w:sz w:val="24"/>
          <w:szCs w:val="24"/>
        </w:rPr>
        <w:lastRenderedPageBreak/>
        <w:t xml:space="preserve">Art </w:t>
      </w:r>
    </w:p>
    <w:p w14:paraId="0F54FEBE" w14:textId="77777777" w:rsidR="004037CA" w:rsidRPr="004037CA" w:rsidRDefault="004037CA" w:rsidP="004037CA">
      <w:pPr>
        <w:pBdr>
          <w:top w:val="single" w:sz="12" w:space="1" w:color="00B050"/>
          <w:left w:val="single" w:sz="12" w:space="4" w:color="00B050"/>
          <w:bottom w:val="single" w:sz="12" w:space="1" w:color="00B050"/>
          <w:right w:val="single" w:sz="12" w:space="4" w:color="00B050"/>
        </w:pBdr>
        <w:spacing w:after="120"/>
        <w:jc w:val="center"/>
        <w:rPr>
          <w:rFonts w:cstheme="minorHAnsi"/>
          <w:i/>
          <w:iCs/>
          <w:sz w:val="24"/>
          <w:szCs w:val="24"/>
        </w:rPr>
      </w:pPr>
      <w:r w:rsidRPr="004037CA">
        <w:rPr>
          <w:rFonts w:cstheme="minorHAnsi"/>
          <w:i/>
          <w:iCs/>
          <w:sz w:val="24"/>
          <w:szCs w:val="24"/>
        </w:rPr>
        <w:t xml:space="preserve"> (norma interpretativa diritto di rivalsa)</w:t>
      </w:r>
    </w:p>
    <w:p w14:paraId="7BF17634" w14:textId="24B92362" w:rsidR="00D449F7" w:rsidRDefault="004037CA" w:rsidP="00D449F7">
      <w:pPr>
        <w:pBdr>
          <w:top w:val="single" w:sz="12" w:space="1" w:color="00B050"/>
          <w:left w:val="single" w:sz="12" w:space="4" w:color="00B050"/>
          <w:bottom w:val="single" w:sz="12" w:space="1" w:color="00B050"/>
          <w:right w:val="single" w:sz="12" w:space="4" w:color="00B050"/>
        </w:pBdr>
        <w:spacing w:after="120" w:line="240" w:lineRule="auto"/>
        <w:jc w:val="both"/>
        <w:rPr>
          <w:rFonts w:cstheme="minorHAnsi"/>
          <w:iCs/>
          <w:sz w:val="24"/>
          <w:szCs w:val="24"/>
        </w:rPr>
      </w:pPr>
      <w:r w:rsidRPr="004037CA">
        <w:rPr>
          <w:rFonts w:cstheme="minorHAnsi"/>
          <w:iCs/>
          <w:sz w:val="24"/>
          <w:szCs w:val="24"/>
        </w:rPr>
        <w:t>Il diritto di rivalsa di cui all’articolo 2, comma 1 della legge 2 agosto 1990 n. 233, e successive modificazioni ed integrazioni, si intende applicabile ai coltivatori diretti e agli imprenditori agricoli professionali titolari dell’impresa diretto coltivatrice e dell’impresa agricola professionale inquadrata come tale ai fini previdenziali</w:t>
      </w:r>
      <w:r>
        <w:rPr>
          <w:rFonts w:cstheme="minorHAnsi"/>
          <w:iCs/>
          <w:sz w:val="24"/>
          <w:szCs w:val="24"/>
        </w:rPr>
        <w:t>.</w:t>
      </w:r>
    </w:p>
    <w:p w14:paraId="6D8F3580" w14:textId="77777777" w:rsidR="00D449F7" w:rsidRPr="00D449F7" w:rsidRDefault="00D449F7" w:rsidP="00D449F7">
      <w:pPr>
        <w:pBdr>
          <w:top w:val="single" w:sz="12" w:space="1" w:color="00B050"/>
          <w:left w:val="single" w:sz="12" w:space="4" w:color="00B050"/>
          <w:bottom w:val="single" w:sz="12" w:space="1" w:color="00B050"/>
          <w:right w:val="single" w:sz="12" w:space="4" w:color="00B050"/>
        </w:pBdr>
        <w:spacing w:after="120" w:line="240" w:lineRule="auto"/>
        <w:jc w:val="both"/>
        <w:rPr>
          <w:rFonts w:cstheme="minorHAnsi"/>
          <w:iCs/>
          <w:sz w:val="24"/>
          <w:szCs w:val="24"/>
        </w:rPr>
      </w:pPr>
    </w:p>
    <w:p w14:paraId="5F4F8850" w14:textId="77777777" w:rsidR="004037CA" w:rsidRPr="004037CA" w:rsidRDefault="004037CA" w:rsidP="004037CA">
      <w:pPr>
        <w:pBdr>
          <w:top w:val="single" w:sz="12" w:space="1" w:color="00B050"/>
          <w:left w:val="single" w:sz="12" w:space="4" w:color="00B050"/>
          <w:bottom w:val="single" w:sz="12" w:space="1" w:color="00B050"/>
          <w:right w:val="single" w:sz="12" w:space="4" w:color="00B050"/>
        </w:pBdr>
        <w:spacing w:after="0" w:line="240" w:lineRule="auto"/>
        <w:jc w:val="both"/>
        <w:rPr>
          <w:rFonts w:cstheme="minorHAnsi"/>
          <w:b/>
          <w:iCs/>
          <w:sz w:val="24"/>
          <w:szCs w:val="24"/>
        </w:rPr>
      </w:pPr>
      <w:r w:rsidRPr="004037CA">
        <w:rPr>
          <w:rFonts w:cstheme="minorHAnsi"/>
          <w:b/>
          <w:iCs/>
          <w:sz w:val="24"/>
          <w:szCs w:val="24"/>
        </w:rPr>
        <w:t>Relazione:</w:t>
      </w:r>
    </w:p>
    <w:p w14:paraId="092D3DC8" w14:textId="6ADB64A0" w:rsidR="004037CA" w:rsidRDefault="004037CA" w:rsidP="004037CA">
      <w:pPr>
        <w:pBdr>
          <w:top w:val="single" w:sz="12" w:space="1" w:color="00B050"/>
          <w:left w:val="single" w:sz="12" w:space="4" w:color="00B050"/>
          <w:bottom w:val="single" w:sz="12" w:space="1" w:color="00B050"/>
          <w:right w:val="single" w:sz="12" w:space="4" w:color="00B050"/>
        </w:pBdr>
        <w:spacing w:after="0" w:line="240" w:lineRule="auto"/>
        <w:jc w:val="both"/>
        <w:rPr>
          <w:rFonts w:cstheme="minorHAnsi"/>
          <w:iCs/>
          <w:sz w:val="24"/>
          <w:szCs w:val="24"/>
        </w:rPr>
      </w:pPr>
      <w:r w:rsidRPr="004037CA">
        <w:rPr>
          <w:rFonts w:cstheme="minorHAnsi"/>
          <w:iCs/>
          <w:sz w:val="24"/>
          <w:szCs w:val="24"/>
        </w:rPr>
        <w:t>L’emendamento che si propone, a valenza interpretativa, interviene a chiarire una condizione che, se non regolamentata, produrrebbe effetti sperequativi tra contribuenti che operano in diversi settori economici, con particolare riferimento al diritto riconosciuto a talune categorie economiche di beneficiare della deduzione dal proprio reddito complessivo dei contributi previdenziali ed assistenziale versati e palesemente negato a contribuenti che operano in altri settori, nello specifico quello agricolo. Più nel dettaglio, se da un lato è vero che l’art. 2, comma 1 della sopra richiamata legge n. 233 del 1990 prevede espressamente il diritto di rivalsa nell'ambito delle sole imprese artigiane e commerciali, nonché nell'ambito dei rapporti associativi agricoli di mezzadria e colonia, dall’altro, la mancata previsione del diritto di rivalsa anche in riferimento alle imprese diretto-coltivatrici ha come effetto quello di ledere il principio di uguaglianza tributaria sancito dalla nostra Costituzione. Infine</w:t>
      </w:r>
      <w:r w:rsidR="00D449F7">
        <w:rPr>
          <w:rFonts w:cstheme="minorHAnsi"/>
          <w:iCs/>
          <w:sz w:val="24"/>
          <w:szCs w:val="24"/>
        </w:rPr>
        <w:t>,</w:t>
      </w:r>
      <w:r w:rsidRPr="004037CA">
        <w:rPr>
          <w:rFonts w:cstheme="minorHAnsi"/>
          <w:iCs/>
          <w:sz w:val="24"/>
          <w:szCs w:val="24"/>
        </w:rPr>
        <w:t xml:space="preserve"> una modifica normativa in tal senso</w:t>
      </w:r>
      <w:r w:rsidR="00D449F7">
        <w:rPr>
          <w:rFonts w:cstheme="minorHAnsi"/>
          <w:iCs/>
          <w:sz w:val="24"/>
          <w:szCs w:val="24"/>
        </w:rPr>
        <w:t>,</w:t>
      </w:r>
      <w:bookmarkStart w:id="1" w:name="_GoBack"/>
      <w:bookmarkEnd w:id="1"/>
      <w:r w:rsidRPr="004037CA">
        <w:rPr>
          <w:rFonts w:cstheme="minorHAnsi"/>
          <w:iCs/>
          <w:sz w:val="24"/>
          <w:szCs w:val="24"/>
        </w:rPr>
        <w:t xml:space="preserve"> sembra essere del tutto in linea con la ratio dell’</w:t>
      </w:r>
      <w:hyperlink r:id="rId10" w:anchor="20191007155510856" w:tooltip="Legge 2 agosto 1990, n. 233" w:history="1">
        <w:r w:rsidRPr="004037CA">
          <w:rPr>
            <w:rFonts w:cstheme="minorHAnsi"/>
            <w:iCs/>
            <w:sz w:val="24"/>
            <w:szCs w:val="24"/>
          </w:rPr>
          <w:t>articolo 2</w:t>
        </w:r>
      </w:hyperlink>
      <w:r w:rsidRPr="004037CA">
        <w:rPr>
          <w:rFonts w:cstheme="minorHAnsi"/>
          <w:iCs/>
          <w:sz w:val="24"/>
          <w:szCs w:val="24"/>
        </w:rPr>
        <w:t>, comma 1, L. 233/1990 che risiede nella volontà del Legislatore di consentire la deduzione dei contributi non a chi ha materialmente provveduto al pagamento nell’interesse di altri, ma a chi risulta beneficiario del versamento contributivo e ne ha sopportato l’onere per effetto dell’esercizio della rivalsa.</w:t>
      </w:r>
    </w:p>
    <w:p w14:paraId="03082E90" w14:textId="77777777" w:rsidR="00D449F7" w:rsidRPr="004037CA" w:rsidRDefault="00D449F7" w:rsidP="004037CA">
      <w:pPr>
        <w:pBdr>
          <w:top w:val="single" w:sz="12" w:space="1" w:color="00B050"/>
          <w:left w:val="single" w:sz="12" w:space="4" w:color="00B050"/>
          <w:bottom w:val="single" w:sz="12" w:space="1" w:color="00B050"/>
          <w:right w:val="single" w:sz="12" w:space="4" w:color="00B050"/>
        </w:pBdr>
        <w:spacing w:after="0" w:line="240" w:lineRule="auto"/>
        <w:jc w:val="both"/>
        <w:rPr>
          <w:rFonts w:cstheme="minorHAnsi"/>
          <w:iCs/>
          <w:sz w:val="24"/>
          <w:szCs w:val="24"/>
        </w:rPr>
      </w:pPr>
    </w:p>
    <w:p w14:paraId="27A7D788" w14:textId="77777777" w:rsidR="009316EC" w:rsidRDefault="009316EC" w:rsidP="00D80524">
      <w:pPr>
        <w:tabs>
          <w:tab w:val="left" w:pos="1338"/>
        </w:tabs>
        <w:jc w:val="both"/>
        <w:rPr>
          <w:rFonts w:ascii="Arial" w:hAnsi="Arial" w:cs="Arial"/>
          <w:sz w:val="24"/>
          <w:szCs w:val="24"/>
        </w:rPr>
      </w:pPr>
    </w:p>
    <w:sectPr w:rsidR="009316EC">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69125" w14:textId="77777777" w:rsidR="00257346" w:rsidRDefault="00257346" w:rsidP="009044DD">
      <w:pPr>
        <w:spacing w:after="0" w:line="240" w:lineRule="auto"/>
      </w:pPr>
      <w:r>
        <w:separator/>
      </w:r>
    </w:p>
  </w:endnote>
  <w:endnote w:type="continuationSeparator" w:id="0">
    <w:p w14:paraId="31461EC6" w14:textId="77777777" w:rsidR="00257346" w:rsidRDefault="00257346" w:rsidP="00904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144763"/>
      <w:docPartObj>
        <w:docPartGallery w:val="Page Numbers (Bottom of Page)"/>
        <w:docPartUnique/>
      </w:docPartObj>
    </w:sdtPr>
    <w:sdtEndPr/>
    <w:sdtContent>
      <w:p w14:paraId="15D91D2B" w14:textId="77777777" w:rsidR="009044DD" w:rsidRDefault="009044DD">
        <w:pPr>
          <w:pStyle w:val="Pidipagina"/>
          <w:jc w:val="center"/>
        </w:pPr>
        <w:r>
          <w:fldChar w:fldCharType="begin"/>
        </w:r>
        <w:r>
          <w:instrText>PAGE   \* MERGEFORMAT</w:instrText>
        </w:r>
        <w:r>
          <w:fldChar w:fldCharType="separate"/>
        </w:r>
        <w:r w:rsidR="004037CA">
          <w:rPr>
            <w:noProof/>
          </w:rPr>
          <w:t>6</w:t>
        </w:r>
        <w:r>
          <w:fldChar w:fldCharType="end"/>
        </w:r>
      </w:p>
    </w:sdtContent>
  </w:sdt>
  <w:p w14:paraId="4540B24B" w14:textId="77777777" w:rsidR="009044DD" w:rsidRDefault="009044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7F1F4" w14:textId="77777777" w:rsidR="00257346" w:rsidRDefault="00257346" w:rsidP="009044DD">
      <w:pPr>
        <w:spacing w:after="0" w:line="240" w:lineRule="auto"/>
      </w:pPr>
      <w:r>
        <w:separator/>
      </w:r>
    </w:p>
  </w:footnote>
  <w:footnote w:type="continuationSeparator" w:id="0">
    <w:p w14:paraId="41DE3339" w14:textId="77777777" w:rsidR="00257346" w:rsidRDefault="00257346" w:rsidP="009044DD">
      <w:pPr>
        <w:spacing w:after="0" w:line="240" w:lineRule="auto"/>
      </w:pPr>
      <w:r>
        <w:continuationSeparator/>
      </w:r>
    </w:p>
  </w:footnote>
  <w:footnote w:id="1">
    <w:p w14:paraId="7E7420E8" w14:textId="77777777" w:rsidR="001473E6" w:rsidRDefault="001473E6">
      <w:pPr>
        <w:pStyle w:val="Testonotaapidipagina"/>
      </w:pPr>
      <w:r>
        <w:rPr>
          <w:rStyle w:val="Rimandonotaapidipagina"/>
        </w:rPr>
        <w:footnoteRef/>
      </w:r>
      <w:r>
        <w:t xml:space="preserve"> I Riferimenti normativi assunti sono relativi all’ultima versione disponibile del A.S. 1586 così come modificato e approvato dalla Commissione Bilancio.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1738" w14:textId="77777777" w:rsidR="00DF1CA5" w:rsidRDefault="00DF1CA5">
    <w:pPr>
      <w:pStyle w:val="Intestazione"/>
    </w:pPr>
    <w:r>
      <w:rPr>
        <w:rFonts w:eastAsia="Times New Roman"/>
        <w:noProof/>
        <w:lang w:eastAsia="it-IT"/>
      </w:rPr>
      <w:drawing>
        <wp:inline distT="0" distB="0" distL="0" distR="0" wp14:anchorId="1BC0B572" wp14:editId="4AFD9CC5">
          <wp:extent cx="762000" cy="525370"/>
          <wp:effectExtent l="0" t="0" r="0" b="8255"/>
          <wp:docPr id="1" name="Immagine 1" descr="cid:87389F3D-4926-4550-A65E-DAF73CD7836E@cia-italia.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CD5962-687E-409F-A0D5-DA8AF58BDE9B" descr="cid:87389F3D-4926-4550-A65E-DAF73CD7836E@cia-italia.loc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65523" cy="527799"/>
                  </a:xfrm>
                  <a:prstGeom prst="rect">
                    <a:avLst/>
                  </a:prstGeom>
                  <a:noFill/>
                  <a:ln>
                    <a:noFill/>
                  </a:ln>
                </pic:spPr>
              </pic:pic>
            </a:graphicData>
          </a:graphic>
        </wp:inline>
      </w:drawing>
    </w:r>
  </w:p>
  <w:p w14:paraId="265A75F8" w14:textId="77777777" w:rsidR="00DF1CA5" w:rsidRDefault="00DF1C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84A"/>
    <w:multiLevelType w:val="hybridMultilevel"/>
    <w:tmpl w:val="737CB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C37ED7"/>
    <w:multiLevelType w:val="hybridMultilevel"/>
    <w:tmpl w:val="93862954"/>
    <w:lvl w:ilvl="0" w:tplc="0D56189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5C647F"/>
    <w:multiLevelType w:val="hybridMultilevel"/>
    <w:tmpl w:val="AF46AE6C"/>
    <w:lvl w:ilvl="0" w:tplc="49C0D6E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22A542BB"/>
    <w:multiLevelType w:val="hybridMultilevel"/>
    <w:tmpl w:val="C8804C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2C6B44"/>
    <w:multiLevelType w:val="hybridMultilevel"/>
    <w:tmpl w:val="9D0C570E"/>
    <w:lvl w:ilvl="0" w:tplc="0D56189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105C87"/>
    <w:multiLevelType w:val="hybridMultilevel"/>
    <w:tmpl w:val="036EE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287900"/>
    <w:multiLevelType w:val="hybridMultilevel"/>
    <w:tmpl w:val="B50E8720"/>
    <w:lvl w:ilvl="0" w:tplc="0D56189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3B"/>
    <w:rsid w:val="0000699F"/>
    <w:rsid w:val="00033F75"/>
    <w:rsid w:val="00062B33"/>
    <w:rsid w:val="000765E6"/>
    <w:rsid w:val="00092496"/>
    <w:rsid w:val="000A422A"/>
    <w:rsid w:val="000A659A"/>
    <w:rsid w:val="000F293B"/>
    <w:rsid w:val="00104FF6"/>
    <w:rsid w:val="00124EAF"/>
    <w:rsid w:val="00130BD0"/>
    <w:rsid w:val="001365A0"/>
    <w:rsid w:val="0014380A"/>
    <w:rsid w:val="001473E6"/>
    <w:rsid w:val="001A1568"/>
    <w:rsid w:val="001E6043"/>
    <w:rsid w:val="001F4E13"/>
    <w:rsid w:val="001F5B6A"/>
    <w:rsid w:val="00200ABC"/>
    <w:rsid w:val="00210286"/>
    <w:rsid w:val="002377F8"/>
    <w:rsid w:val="00242113"/>
    <w:rsid w:val="00257346"/>
    <w:rsid w:val="0027383F"/>
    <w:rsid w:val="00295E23"/>
    <w:rsid w:val="002D03A2"/>
    <w:rsid w:val="00322A15"/>
    <w:rsid w:val="00353CB0"/>
    <w:rsid w:val="00360186"/>
    <w:rsid w:val="003C2B07"/>
    <w:rsid w:val="003F507A"/>
    <w:rsid w:val="004037CA"/>
    <w:rsid w:val="004332B4"/>
    <w:rsid w:val="004505CB"/>
    <w:rsid w:val="004505CF"/>
    <w:rsid w:val="0045166F"/>
    <w:rsid w:val="00494479"/>
    <w:rsid w:val="004D0E25"/>
    <w:rsid w:val="004E356D"/>
    <w:rsid w:val="00501F6D"/>
    <w:rsid w:val="005066E0"/>
    <w:rsid w:val="00524467"/>
    <w:rsid w:val="005B39CA"/>
    <w:rsid w:val="005E71CA"/>
    <w:rsid w:val="00664532"/>
    <w:rsid w:val="006666F9"/>
    <w:rsid w:val="006B7BD7"/>
    <w:rsid w:val="007102EC"/>
    <w:rsid w:val="00735E19"/>
    <w:rsid w:val="007646FC"/>
    <w:rsid w:val="007D76A8"/>
    <w:rsid w:val="007F54B3"/>
    <w:rsid w:val="00835905"/>
    <w:rsid w:val="0085636C"/>
    <w:rsid w:val="009044DD"/>
    <w:rsid w:val="0092215C"/>
    <w:rsid w:val="009316EC"/>
    <w:rsid w:val="00941F2A"/>
    <w:rsid w:val="00953F40"/>
    <w:rsid w:val="00A04475"/>
    <w:rsid w:val="00A149BB"/>
    <w:rsid w:val="00A64039"/>
    <w:rsid w:val="00AC24B5"/>
    <w:rsid w:val="00AC4794"/>
    <w:rsid w:val="00B05CD9"/>
    <w:rsid w:val="00B17AD8"/>
    <w:rsid w:val="00B23B9D"/>
    <w:rsid w:val="00B81BE7"/>
    <w:rsid w:val="00B96204"/>
    <w:rsid w:val="00BA4B6D"/>
    <w:rsid w:val="00C050B7"/>
    <w:rsid w:val="00C06D3D"/>
    <w:rsid w:val="00C32C4F"/>
    <w:rsid w:val="00C42B78"/>
    <w:rsid w:val="00C6303B"/>
    <w:rsid w:val="00C95826"/>
    <w:rsid w:val="00D332B8"/>
    <w:rsid w:val="00D449F7"/>
    <w:rsid w:val="00D80524"/>
    <w:rsid w:val="00D90675"/>
    <w:rsid w:val="00DE58A0"/>
    <w:rsid w:val="00DE7DBE"/>
    <w:rsid w:val="00DF1CA5"/>
    <w:rsid w:val="00DF7E9F"/>
    <w:rsid w:val="00E42647"/>
    <w:rsid w:val="00E61FB7"/>
    <w:rsid w:val="00EB6C2F"/>
    <w:rsid w:val="00EC3B3E"/>
    <w:rsid w:val="00ED4C03"/>
    <w:rsid w:val="00F02173"/>
    <w:rsid w:val="00F27F01"/>
    <w:rsid w:val="00F508BF"/>
    <w:rsid w:val="00F64528"/>
    <w:rsid w:val="00F75E62"/>
    <w:rsid w:val="00FC4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37EB2"/>
  <w15:docId w15:val="{BBB43991-858A-496D-AF3C-ED1F2CFE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5826"/>
    <w:pPr>
      <w:ind w:left="720"/>
      <w:contextualSpacing/>
    </w:pPr>
  </w:style>
  <w:style w:type="paragraph" w:styleId="PreformattatoHTML">
    <w:name w:val="HTML Preformatted"/>
    <w:basedOn w:val="Normale"/>
    <w:link w:val="PreformattatoHTMLCarattere"/>
    <w:uiPriority w:val="99"/>
    <w:semiHidden/>
    <w:unhideWhenUsed/>
    <w:rsid w:val="00F75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F75E62"/>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9044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44DD"/>
  </w:style>
  <w:style w:type="paragraph" w:styleId="Pidipagina">
    <w:name w:val="footer"/>
    <w:basedOn w:val="Normale"/>
    <w:link w:val="PidipaginaCarattere"/>
    <w:uiPriority w:val="99"/>
    <w:unhideWhenUsed/>
    <w:rsid w:val="009044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44DD"/>
  </w:style>
  <w:style w:type="paragraph" w:styleId="Testofumetto">
    <w:name w:val="Balloon Text"/>
    <w:basedOn w:val="Normale"/>
    <w:link w:val="TestofumettoCarattere"/>
    <w:uiPriority w:val="99"/>
    <w:semiHidden/>
    <w:unhideWhenUsed/>
    <w:rsid w:val="00DF1C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1CA5"/>
    <w:rPr>
      <w:rFonts w:ascii="Tahoma" w:hAnsi="Tahoma" w:cs="Tahoma"/>
      <w:sz w:val="16"/>
      <w:szCs w:val="16"/>
    </w:rPr>
  </w:style>
  <w:style w:type="paragraph" w:customStyle="1" w:styleId="Default">
    <w:name w:val="Default"/>
    <w:rsid w:val="00F02173"/>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0765E6"/>
    <w:rPr>
      <w:b/>
      <w:bCs/>
    </w:rPr>
  </w:style>
  <w:style w:type="paragraph" w:styleId="NormaleWeb">
    <w:name w:val="Normal (Web)"/>
    <w:basedOn w:val="Normale"/>
    <w:uiPriority w:val="99"/>
    <w:unhideWhenUsed/>
    <w:rsid w:val="0009249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200ABC"/>
    <w:pPr>
      <w:spacing w:after="0" w:line="240" w:lineRule="auto"/>
    </w:pPr>
    <w:rPr>
      <w:rFonts w:ascii="Arial" w:hAnsi="Arial" w:cs="Arial"/>
      <w:sz w:val="24"/>
      <w:szCs w:val="24"/>
    </w:rPr>
  </w:style>
  <w:style w:type="paragraph" w:styleId="Testonotaapidipagina">
    <w:name w:val="footnote text"/>
    <w:basedOn w:val="Normale"/>
    <w:link w:val="TestonotaapidipaginaCarattere"/>
    <w:uiPriority w:val="99"/>
    <w:semiHidden/>
    <w:unhideWhenUsed/>
    <w:rsid w:val="001473E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473E6"/>
    <w:rPr>
      <w:sz w:val="20"/>
      <w:szCs w:val="20"/>
    </w:rPr>
  </w:style>
  <w:style w:type="character" w:styleId="Rimandonotaapidipagina">
    <w:name w:val="footnote reference"/>
    <w:basedOn w:val="Carpredefinitoparagrafo"/>
    <w:uiPriority w:val="99"/>
    <w:semiHidden/>
    <w:unhideWhenUsed/>
    <w:rsid w:val="001473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isualizzaScheda('5679','2','DLs','articolo','');" TargetMode="External"/><Relationship Id="rId4" Type="http://schemas.openxmlformats.org/officeDocument/2006/relationships/settings" Target="settings.xml"/><Relationship Id="rId9" Type="http://schemas.openxmlformats.org/officeDocument/2006/relationships/image" Target="cid:87389F3D-4926-4550-A65E-DAF73CD7836E@cia-italia.loc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87389F3D-4926-4550-A65E-DAF73CD7836E@cia-italia.local"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24079-56D6-42CE-B7B3-75CD87DB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3875</Words>
  <Characters>22093</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Barbetta</dc:creator>
  <cp:lastModifiedBy>Annalisa Nicoletti</cp:lastModifiedBy>
  <cp:revision>2</cp:revision>
  <cp:lastPrinted>2019-12-16T16:57:00Z</cp:lastPrinted>
  <dcterms:created xsi:type="dcterms:W3CDTF">2019-12-17T09:26:00Z</dcterms:created>
  <dcterms:modified xsi:type="dcterms:W3CDTF">2019-12-17T09:26:00Z</dcterms:modified>
</cp:coreProperties>
</file>