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184D6" w14:textId="496E188E" w:rsidR="00D70F66" w:rsidRPr="00AD20CD" w:rsidRDefault="00336AE6" w:rsidP="00900BD3">
      <w:pPr>
        <w:spacing w:line="259" w:lineRule="auto"/>
        <w:outlineLvl w:val="0"/>
        <w:rPr>
          <w:rFonts w:eastAsia="Calibri" w:cstheme="minorHAnsi"/>
        </w:rPr>
      </w:pPr>
      <w:r w:rsidRPr="00AD20CD">
        <w:rPr>
          <w:rFonts w:eastAsia="Calibri" w:cstheme="minorHAnsi"/>
        </w:rPr>
        <w:t>Comunicato stampa 01/03</w:t>
      </w:r>
      <w:r w:rsidR="00900BD3" w:rsidRPr="00AD20CD">
        <w:rPr>
          <w:rFonts w:eastAsia="Calibri" w:cstheme="minorHAnsi"/>
        </w:rPr>
        <w:t>/2021</w:t>
      </w:r>
    </w:p>
    <w:p w14:paraId="4ABFBB11" w14:textId="35B3C77B" w:rsidR="00F64AFC" w:rsidRPr="00AD20CD" w:rsidRDefault="00A43916" w:rsidP="00F64AFC">
      <w:pPr>
        <w:tabs>
          <w:tab w:val="center" w:pos="4819"/>
          <w:tab w:val="left" w:pos="6585"/>
        </w:tabs>
        <w:spacing w:after="0" w:line="240" w:lineRule="auto"/>
        <w:jc w:val="center"/>
        <w:rPr>
          <w:rFonts w:eastAsia="Calibri" w:cstheme="minorHAnsi"/>
          <w:b/>
          <w:i/>
        </w:rPr>
      </w:pPr>
      <w:r>
        <w:rPr>
          <w:rFonts w:eastAsia="Calibri" w:cstheme="minorHAnsi"/>
          <w:b/>
          <w:i/>
        </w:rPr>
        <w:t xml:space="preserve">ROTTAMARE </w:t>
      </w:r>
      <w:proofErr w:type="gramStart"/>
      <w:r>
        <w:rPr>
          <w:rFonts w:eastAsia="Calibri" w:cstheme="minorHAnsi"/>
          <w:b/>
          <w:i/>
        </w:rPr>
        <w:t>ED</w:t>
      </w:r>
      <w:proofErr w:type="gramEnd"/>
      <w:r>
        <w:rPr>
          <w:rFonts w:eastAsia="Calibri" w:cstheme="minorHAnsi"/>
          <w:b/>
          <w:i/>
        </w:rPr>
        <w:t xml:space="preserve"> EDUCARE</w:t>
      </w:r>
    </w:p>
    <w:p w14:paraId="0C6EF459" w14:textId="24B17E58" w:rsidR="00F64AFC" w:rsidRPr="00AD20CD" w:rsidRDefault="00900BD3" w:rsidP="00F64AFC">
      <w:pPr>
        <w:tabs>
          <w:tab w:val="center" w:pos="4819"/>
          <w:tab w:val="left" w:pos="6585"/>
        </w:tabs>
        <w:spacing w:after="0" w:line="240" w:lineRule="auto"/>
        <w:jc w:val="center"/>
        <w:rPr>
          <w:rFonts w:eastAsia="Calibri" w:cstheme="minorHAnsi"/>
          <w:b/>
          <w:i/>
        </w:rPr>
      </w:pPr>
      <w:r w:rsidRPr="00AD20CD">
        <w:rPr>
          <w:rFonts w:eastAsia="Calibri" w:cstheme="minorHAnsi"/>
          <w:b/>
          <w:i/>
        </w:rPr>
        <w:t xml:space="preserve">Il piano di azione </w:t>
      </w:r>
      <w:r w:rsidR="00336AE6" w:rsidRPr="00AD20CD">
        <w:rPr>
          <w:rFonts w:eastAsia="Calibri" w:cstheme="minorHAnsi"/>
          <w:b/>
          <w:i/>
        </w:rPr>
        <w:t>di AIEL</w:t>
      </w:r>
      <w:r w:rsidRPr="00AD20CD">
        <w:rPr>
          <w:rFonts w:eastAsia="Calibri" w:cstheme="minorHAnsi"/>
          <w:b/>
          <w:i/>
        </w:rPr>
        <w:t xml:space="preserve"> per ridurre del 70% in 10 anni le emissioni di PM10</w:t>
      </w:r>
    </w:p>
    <w:p w14:paraId="5A380276" w14:textId="0F683312" w:rsidR="00A33E2B" w:rsidRPr="00AD20CD" w:rsidRDefault="00900BD3" w:rsidP="00F64AFC">
      <w:pPr>
        <w:tabs>
          <w:tab w:val="center" w:pos="4819"/>
          <w:tab w:val="left" w:pos="6585"/>
        </w:tabs>
        <w:spacing w:after="0" w:line="240" w:lineRule="auto"/>
        <w:jc w:val="center"/>
        <w:rPr>
          <w:rFonts w:eastAsia="Calibri" w:cstheme="minorHAnsi"/>
          <w:b/>
          <w:i/>
        </w:rPr>
      </w:pPr>
      <w:r w:rsidRPr="00AD20CD">
        <w:rPr>
          <w:rFonts w:eastAsia="Calibri" w:cstheme="minorHAnsi"/>
          <w:b/>
          <w:i/>
        </w:rPr>
        <w:t xml:space="preserve">dalla combustione domestica </w:t>
      </w:r>
      <w:r w:rsidR="001309B8">
        <w:rPr>
          <w:rFonts w:eastAsia="Calibri" w:cstheme="minorHAnsi"/>
          <w:b/>
          <w:i/>
        </w:rPr>
        <w:t>a legna e pellet</w:t>
      </w:r>
    </w:p>
    <w:p w14:paraId="31C35E81" w14:textId="77777777" w:rsidR="00900BD3" w:rsidRPr="00AD20CD" w:rsidRDefault="00900BD3" w:rsidP="005F6E2B">
      <w:pPr>
        <w:tabs>
          <w:tab w:val="center" w:pos="4819"/>
          <w:tab w:val="left" w:pos="6585"/>
        </w:tabs>
        <w:spacing w:after="0" w:line="240" w:lineRule="auto"/>
        <w:rPr>
          <w:rFonts w:eastAsia="Calibri" w:cstheme="minorHAnsi"/>
          <w:b/>
        </w:rPr>
      </w:pPr>
    </w:p>
    <w:p w14:paraId="62ECE40A" w14:textId="14F3D932" w:rsidR="000861B6" w:rsidRPr="00AD20CD" w:rsidRDefault="00336AE6" w:rsidP="005671A3">
      <w:pPr>
        <w:tabs>
          <w:tab w:val="left" w:pos="5541"/>
        </w:tabs>
        <w:spacing w:after="0" w:line="240" w:lineRule="auto"/>
        <w:jc w:val="both"/>
        <w:rPr>
          <w:rFonts w:eastAsia="Calibri" w:cstheme="minorHAnsi"/>
        </w:rPr>
      </w:pPr>
      <w:r w:rsidRPr="00AD20CD">
        <w:rPr>
          <w:rFonts w:eastAsia="Calibri" w:cstheme="minorHAnsi"/>
        </w:rPr>
        <w:t>Nel periodo invernale, le</w:t>
      </w:r>
      <w:r w:rsidR="001169B8" w:rsidRPr="00AD20CD">
        <w:rPr>
          <w:rFonts w:eastAsia="Calibri" w:cstheme="minorHAnsi"/>
        </w:rPr>
        <w:t xml:space="preserve"> emissioni di polveri sottili (PM10)</w:t>
      </w:r>
      <w:r w:rsidRPr="00AD20CD">
        <w:rPr>
          <w:rFonts w:eastAsia="Calibri" w:cstheme="minorHAnsi"/>
        </w:rPr>
        <w:t xml:space="preserve"> dovute a trasporto su strada, agricoltura e riscaldamento sono un problema ancora irrisolto</w:t>
      </w:r>
      <w:r w:rsidR="001169B8" w:rsidRPr="00AD20CD">
        <w:rPr>
          <w:rFonts w:eastAsia="Calibri" w:cstheme="minorHAnsi"/>
        </w:rPr>
        <w:t xml:space="preserve">, tanto che sul nostro Paese e su alcune Regioni pende una condanna da parte della Corte di Giustizia europea per la violazione della Direttiva 2008/50 </w:t>
      </w:r>
      <w:proofErr w:type="spellStart"/>
      <w:r w:rsidR="001169B8" w:rsidRPr="00AD20CD">
        <w:rPr>
          <w:rFonts w:eastAsia="Calibri" w:cstheme="minorHAnsi"/>
        </w:rPr>
        <w:t>posta</w:t>
      </w:r>
      <w:proofErr w:type="spellEnd"/>
      <w:r w:rsidR="001169B8" w:rsidRPr="00AD20CD">
        <w:rPr>
          <w:rFonts w:eastAsia="Calibri" w:cstheme="minorHAnsi"/>
        </w:rPr>
        <w:t xml:space="preserve"> a tutela della salute e dell’ambiente.</w:t>
      </w:r>
      <w:r w:rsidR="009560D9">
        <w:rPr>
          <w:rFonts w:eastAsia="Calibri" w:cstheme="minorHAnsi"/>
        </w:rPr>
        <w:t xml:space="preserve"> </w:t>
      </w:r>
      <w:r w:rsidRPr="00AD20CD">
        <w:rPr>
          <w:rFonts w:eastAsia="Calibri" w:cstheme="minorHAnsi"/>
        </w:rPr>
        <w:t>Consapevole de</w:t>
      </w:r>
      <w:r w:rsidR="009560D9">
        <w:rPr>
          <w:rFonts w:eastAsia="Calibri" w:cstheme="minorHAnsi"/>
        </w:rPr>
        <w:t>lla necessità di agire</w:t>
      </w:r>
      <w:r w:rsidRPr="00AD20CD">
        <w:rPr>
          <w:rFonts w:eastAsia="Calibri" w:cstheme="minorHAnsi"/>
        </w:rPr>
        <w:t>,</w:t>
      </w:r>
      <w:r w:rsidR="001169B8" w:rsidRPr="00AD20CD">
        <w:rPr>
          <w:rFonts w:eastAsia="Calibri" w:cstheme="minorHAnsi"/>
        </w:rPr>
        <w:t xml:space="preserve"> </w:t>
      </w:r>
      <w:r w:rsidRPr="00AD20CD">
        <w:rPr>
          <w:rFonts w:eastAsia="Calibri" w:cstheme="minorHAnsi"/>
        </w:rPr>
        <w:t>AIEL Associazione italiana</w:t>
      </w:r>
      <w:r w:rsidR="001169B8" w:rsidRPr="00AD20CD">
        <w:rPr>
          <w:rFonts w:eastAsia="Calibri" w:cstheme="minorHAnsi"/>
        </w:rPr>
        <w:t xml:space="preserve"> energie agroforestali</w:t>
      </w:r>
      <w:r w:rsidRPr="00AD20CD">
        <w:rPr>
          <w:rFonts w:eastAsia="Calibri" w:cstheme="minorHAnsi"/>
        </w:rPr>
        <w:t xml:space="preserve"> considera prioritario l’impegno a ridurre le</w:t>
      </w:r>
      <w:r w:rsidR="001169B8" w:rsidRPr="00AD20CD">
        <w:rPr>
          <w:rFonts w:eastAsia="Calibri" w:cstheme="minorHAnsi"/>
        </w:rPr>
        <w:t xml:space="preserve"> emissioni di </w:t>
      </w:r>
      <w:r w:rsidR="009560D9">
        <w:rPr>
          <w:rFonts w:eastAsia="Calibri" w:cstheme="minorHAnsi"/>
        </w:rPr>
        <w:t>PM10</w:t>
      </w:r>
      <w:r w:rsidRPr="00AD20CD">
        <w:rPr>
          <w:rFonts w:eastAsia="Calibri" w:cstheme="minorHAnsi"/>
        </w:rPr>
        <w:t xml:space="preserve"> e propone</w:t>
      </w:r>
      <w:r w:rsidR="001169B8" w:rsidRPr="00AD20CD">
        <w:rPr>
          <w:rFonts w:eastAsia="Calibri" w:cstheme="minorHAnsi"/>
        </w:rPr>
        <w:t xml:space="preserve"> un approccio concreto che punta ad abbattere del 70% in dieci anni </w:t>
      </w:r>
      <w:r w:rsidR="005671A3">
        <w:rPr>
          <w:rFonts w:eastAsia="Calibri" w:cstheme="minorHAnsi"/>
        </w:rPr>
        <w:t>quelle</w:t>
      </w:r>
      <w:r w:rsidR="001169B8" w:rsidRPr="00AD20CD">
        <w:rPr>
          <w:rFonts w:eastAsia="Calibri" w:cstheme="minorHAnsi"/>
        </w:rPr>
        <w:t xml:space="preserve"> imputabili al riscaldamento domestico </w:t>
      </w:r>
      <w:r w:rsidRPr="00AD20CD">
        <w:rPr>
          <w:rFonts w:eastAsia="Calibri" w:cstheme="minorHAnsi"/>
        </w:rPr>
        <w:t>a legna e pellet</w:t>
      </w:r>
      <w:r w:rsidR="001169B8" w:rsidRPr="00AD20CD">
        <w:rPr>
          <w:rFonts w:eastAsia="Calibri" w:cstheme="minorHAnsi"/>
        </w:rPr>
        <w:t xml:space="preserve">. </w:t>
      </w:r>
      <w:r w:rsidRPr="00AD20CD">
        <w:rPr>
          <w:rFonts w:eastAsia="Calibri" w:cstheme="minorHAnsi"/>
        </w:rPr>
        <w:t xml:space="preserve">La </w:t>
      </w:r>
      <w:r w:rsidR="001169B8" w:rsidRPr="00AD20CD">
        <w:rPr>
          <w:rFonts w:eastAsia="Calibri" w:cstheme="minorHAnsi"/>
        </w:rPr>
        <w:t>strategia</w:t>
      </w:r>
      <w:r w:rsidR="00A43916">
        <w:rPr>
          <w:rFonts w:eastAsia="Calibri" w:cstheme="minorHAnsi"/>
        </w:rPr>
        <w:t xml:space="preserve"> proposta</w:t>
      </w:r>
      <w:r w:rsidRPr="00AD20CD">
        <w:rPr>
          <w:rFonts w:eastAsia="Calibri" w:cstheme="minorHAnsi"/>
        </w:rPr>
        <w:t xml:space="preserve"> si chiama</w:t>
      </w:r>
      <w:r w:rsidR="001169B8" w:rsidRPr="00AD20CD">
        <w:rPr>
          <w:rFonts w:eastAsia="Calibri" w:cstheme="minorHAnsi"/>
          <w:b/>
        </w:rPr>
        <w:t xml:space="preserve"> “Rottamare ed educare”</w:t>
      </w:r>
      <w:r w:rsidRPr="00AD20CD">
        <w:rPr>
          <w:rFonts w:eastAsia="Calibri" w:cstheme="minorHAnsi"/>
          <w:b/>
        </w:rPr>
        <w:t xml:space="preserve"> </w:t>
      </w:r>
      <w:r w:rsidRPr="00AD20CD">
        <w:rPr>
          <w:rFonts w:eastAsia="Calibri" w:cstheme="minorHAnsi"/>
        </w:rPr>
        <w:t xml:space="preserve">ed è contenuta </w:t>
      </w:r>
      <w:r w:rsidR="001169B8" w:rsidRPr="00AD20CD">
        <w:rPr>
          <w:rFonts w:eastAsia="Calibri" w:cstheme="minorHAnsi"/>
        </w:rPr>
        <w:t xml:space="preserve">nel </w:t>
      </w:r>
      <w:r w:rsidR="001169B8" w:rsidRPr="00A43916">
        <w:rPr>
          <w:rFonts w:eastAsia="Calibri" w:cstheme="minorHAnsi"/>
          <w:b/>
        </w:rPr>
        <w:t>Libro Bianco</w:t>
      </w:r>
      <w:r w:rsidR="001169B8" w:rsidRPr="00AD20CD">
        <w:rPr>
          <w:rFonts w:eastAsia="Calibri" w:cstheme="minorHAnsi"/>
        </w:rPr>
        <w:t xml:space="preserve"> (</w:t>
      </w:r>
      <w:hyperlink r:id="rId8" w:history="1">
        <w:r w:rsidR="001169B8" w:rsidRPr="009B549C">
          <w:rPr>
            <w:rStyle w:val="Collegamentoipertestuale"/>
            <w:rFonts w:cstheme="minorHAnsi"/>
          </w:rPr>
          <w:t>aielenergia.it/</w:t>
        </w:r>
        <w:proofErr w:type="spellStart"/>
        <w:r w:rsidR="001169B8" w:rsidRPr="009B549C">
          <w:rPr>
            <w:rStyle w:val="Collegamentoipertestuale"/>
            <w:rFonts w:cstheme="minorHAnsi"/>
          </w:rPr>
          <w:t>librobianco</w:t>
        </w:r>
        <w:proofErr w:type="spellEnd"/>
      </w:hyperlink>
      <w:r w:rsidR="001169B8" w:rsidRPr="00AD20CD">
        <w:rPr>
          <w:rFonts w:cstheme="minorHAnsi"/>
        </w:rPr>
        <w:t>)</w:t>
      </w:r>
      <w:r w:rsidR="00967CEC" w:rsidRPr="00AD20CD">
        <w:rPr>
          <w:rFonts w:cstheme="minorHAnsi"/>
        </w:rPr>
        <w:t xml:space="preserve"> </w:t>
      </w:r>
      <w:r w:rsidR="001169B8" w:rsidRPr="00AD20CD">
        <w:rPr>
          <w:rFonts w:eastAsia="Calibri" w:cstheme="minorHAnsi"/>
        </w:rPr>
        <w:t xml:space="preserve">redatto da AIEL e dedicato al futuro del riscaldamento a legna e pellet </w:t>
      </w:r>
      <w:r w:rsidRPr="00AD20CD">
        <w:rPr>
          <w:rFonts w:eastAsia="Calibri" w:cstheme="minorHAnsi"/>
        </w:rPr>
        <w:t>con l’obiettivo di</w:t>
      </w:r>
      <w:r w:rsidR="001169B8" w:rsidRPr="00AD20CD">
        <w:rPr>
          <w:rFonts w:eastAsia="Calibri" w:cstheme="minorHAnsi"/>
        </w:rPr>
        <w:t xml:space="preserve"> sensibilizzare istituzioni, policy maker e opinione pubblica riguardo al contributo che il settore può dare per riscaldare in modo sostenibile e pulito le famiglie italiane.</w:t>
      </w:r>
    </w:p>
    <w:p w14:paraId="0E9B1548" w14:textId="77777777" w:rsidR="00275DB1" w:rsidRPr="00AD20CD" w:rsidRDefault="00275DB1" w:rsidP="00967CEC">
      <w:pPr>
        <w:spacing w:after="0" w:line="240" w:lineRule="auto"/>
        <w:jc w:val="both"/>
        <w:rPr>
          <w:rFonts w:eastAsia="Calibri" w:cstheme="minorHAnsi"/>
        </w:rPr>
      </w:pPr>
    </w:p>
    <w:p w14:paraId="1D0D8EF4" w14:textId="626D4487" w:rsidR="00336AE6" w:rsidRPr="00AD20CD" w:rsidRDefault="00336AE6" w:rsidP="00967CEC">
      <w:pPr>
        <w:spacing w:after="0" w:line="240" w:lineRule="auto"/>
        <w:jc w:val="both"/>
        <w:rPr>
          <w:rFonts w:eastAsia="Calibri" w:cstheme="minorHAnsi"/>
          <w:b/>
        </w:rPr>
      </w:pPr>
      <w:r w:rsidRPr="00AD20CD">
        <w:rPr>
          <w:rFonts w:eastAsia="Calibri" w:cstheme="minorHAnsi"/>
        </w:rPr>
        <w:t xml:space="preserve">Il Libro Bianco è stato presentato nei giorni scorsi </w:t>
      </w:r>
      <w:r w:rsidR="0063085C">
        <w:rPr>
          <w:rFonts w:eastAsia="Calibri" w:cstheme="minorHAnsi"/>
        </w:rPr>
        <w:t>a diversi</w:t>
      </w:r>
      <w:r w:rsidRPr="00AD20CD">
        <w:rPr>
          <w:rFonts w:eastAsia="Calibri" w:cstheme="minorHAnsi"/>
        </w:rPr>
        <w:t xml:space="preserve"> interlocutori</w:t>
      </w:r>
      <w:r w:rsidR="00275DB1" w:rsidRPr="00AD20CD">
        <w:rPr>
          <w:rFonts w:eastAsia="Calibri" w:cstheme="minorHAnsi"/>
        </w:rPr>
        <w:t xml:space="preserve"> politico-istituzionali,</w:t>
      </w:r>
      <w:r w:rsidRPr="00AD20CD">
        <w:rPr>
          <w:rFonts w:eastAsia="Calibri" w:cstheme="minorHAnsi"/>
        </w:rPr>
        <w:t xml:space="preserve"> tra cui Legambiente, Kyoto Club, Coordinamento Free</w:t>
      </w:r>
      <w:r w:rsidR="00275DB1" w:rsidRPr="00AD20CD">
        <w:rPr>
          <w:rFonts w:eastAsia="Calibri" w:cstheme="minorHAnsi"/>
        </w:rPr>
        <w:t>,</w:t>
      </w:r>
      <w:r w:rsidRPr="00AD20CD">
        <w:rPr>
          <w:rFonts w:eastAsia="Calibri" w:cstheme="minorHAnsi"/>
        </w:rPr>
        <w:t xml:space="preserve"> oltre che ai rappresentanti del Ministero dell’Economia e del GSE.</w:t>
      </w:r>
      <w:r w:rsidR="00275DB1" w:rsidRPr="00AD20CD">
        <w:rPr>
          <w:rFonts w:eastAsia="Calibri" w:cstheme="minorHAnsi"/>
        </w:rPr>
        <w:t xml:space="preserve"> Nelle prossime settimane l’agenda</w:t>
      </w:r>
      <w:r w:rsidR="005671A3">
        <w:rPr>
          <w:rFonts w:eastAsia="Calibri" w:cstheme="minorHAnsi"/>
        </w:rPr>
        <w:t xml:space="preserve"> AIEL</w:t>
      </w:r>
      <w:r w:rsidR="00275DB1" w:rsidRPr="00AD20CD">
        <w:rPr>
          <w:rFonts w:eastAsia="Calibri" w:cstheme="minorHAnsi"/>
        </w:rPr>
        <w:t xml:space="preserve"> prevede numerosi altri appuntamenti per focalizzare il problema e le soluzioni possibili</w:t>
      </w:r>
      <w:r w:rsidR="005671A3">
        <w:rPr>
          <w:rFonts w:eastAsia="Calibri" w:cstheme="minorHAnsi"/>
        </w:rPr>
        <w:t>,</w:t>
      </w:r>
      <w:r w:rsidR="00275DB1" w:rsidRPr="00AD20CD">
        <w:rPr>
          <w:rFonts w:eastAsia="Calibri" w:cstheme="minorHAnsi"/>
        </w:rPr>
        <w:t xml:space="preserve"> dialogando direttamente con i </w:t>
      </w:r>
      <w:r w:rsidR="00275DB1" w:rsidRPr="00AD20CD">
        <w:rPr>
          <w:rFonts w:eastAsia="Calibri" w:cstheme="minorHAnsi"/>
          <w:i/>
        </w:rPr>
        <w:t>policy maker</w:t>
      </w:r>
      <w:r w:rsidR="00275DB1" w:rsidRPr="00AD20CD">
        <w:rPr>
          <w:rFonts w:eastAsia="Calibri" w:cstheme="minorHAnsi"/>
        </w:rPr>
        <w:t>.</w:t>
      </w:r>
    </w:p>
    <w:p w14:paraId="5CDC82EF" w14:textId="77777777" w:rsidR="005671A3" w:rsidRDefault="005671A3" w:rsidP="001169B8">
      <w:pPr>
        <w:tabs>
          <w:tab w:val="left" w:pos="5541"/>
        </w:tabs>
        <w:spacing w:after="0" w:line="240" w:lineRule="auto"/>
        <w:jc w:val="both"/>
        <w:outlineLvl w:val="0"/>
        <w:rPr>
          <w:rFonts w:eastAsia="Calibri" w:cstheme="minorHAnsi"/>
        </w:rPr>
      </w:pPr>
    </w:p>
    <w:p w14:paraId="19E22C5D" w14:textId="26B730EC" w:rsidR="00324A1F" w:rsidRPr="00AD20CD" w:rsidRDefault="00900BD3" w:rsidP="001169B8">
      <w:pPr>
        <w:tabs>
          <w:tab w:val="left" w:pos="5541"/>
        </w:tabs>
        <w:spacing w:after="0" w:line="240" w:lineRule="auto"/>
        <w:jc w:val="both"/>
        <w:outlineLvl w:val="0"/>
        <w:rPr>
          <w:rFonts w:eastAsia="Calibri" w:cstheme="minorHAnsi"/>
        </w:rPr>
      </w:pPr>
      <w:r w:rsidRPr="00AD20CD">
        <w:rPr>
          <w:rFonts w:eastAsia="Calibri" w:cstheme="minorHAnsi"/>
          <w:b/>
        </w:rPr>
        <w:t>IL PROBLEMA: POLVERI SOTTILI E RISCALDAMENTO DOMESTICO A BIOMASSE</w:t>
      </w:r>
    </w:p>
    <w:p w14:paraId="14CCB55E" w14:textId="77772BC5" w:rsidR="00BC6BAF" w:rsidRPr="00AD20CD" w:rsidRDefault="00EB0C85" w:rsidP="007E706D">
      <w:pPr>
        <w:tabs>
          <w:tab w:val="left" w:pos="5541"/>
        </w:tabs>
        <w:spacing w:after="0" w:line="240" w:lineRule="auto"/>
        <w:jc w:val="both"/>
        <w:rPr>
          <w:rFonts w:eastAsia="Calibri" w:cstheme="minorHAnsi"/>
          <w:b/>
        </w:rPr>
      </w:pPr>
      <w:r w:rsidRPr="00AD20CD">
        <w:rPr>
          <w:rFonts w:eastAsia="Calibri" w:cstheme="minorHAnsi"/>
        </w:rPr>
        <w:t xml:space="preserve">Il riscaldamento domestico a biomasse </w:t>
      </w:r>
      <w:r w:rsidR="00297D2D" w:rsidRPr="00AD20CD">
        <w:rPr>
          <w:rFonts w:eastAsia="Calibri" w:cstheme="minorHAnsi"/>
        </w:rPr>
        <w:t>produce</w:t>
      </w:r>
      <w:r w:rsidR="0081195F" w:rsidRPr="00AD20CD">
        <w:rPr>
          <w:rFonts w:eastAsia="Calibri" w:cstheme="minorHAnsi"/>
        </w:rPr>
        <w:t xml:space="preserve"> polveri sottili</w:t>
      </w:r>
      <w:r w:rsidR="007F451D" w:rsidRPr="00AD20CD">
        <w:rPr>
          <w:rFonts w:eastAsia="Calibri" w:cstheme="minorHAnsi"/>
        </w:rPr>
        <w:t>, in particolar</w:t>
      </w:r>
      <w:r w:rsidR="00A91A03" w:rsidRPr="00AD20CD">
        <w:rPr>
          <w:rFonts w:eastAsia="Calibri" w:cstheme="minorHAnsi"/>
        </w:rPr>
        <w:t>e</w:t>
      </w:r>
      <w:r w:rsidR="007F451D" w:rsidRPr="00AD20CD">
        <w:rPr>
          <w:rFonts w:eastAsia="Calibri" w:cstheme="minorHAnsi"/>
        </w:rPr>
        <w:t xml:space="preserve"> </w:t>
      </w:r>
      <w:r w:rsidR="00A91A03" w:rsidRPr="00AD20CD">
        <w:rPr>
          <w:rFonts w:eastAsia="Calibri" w:cstheme="minorHAnsi"/>
        </w:rPr>
        <w:t xml:space="preserve">in alcune zone critiche </w:t>
      </w:r>
      <w:r w:rsidR="00275DB1" w:rsidRPr="00AD20CD">
        <w:rPr>
          <w:rFonts w:eastAsia="Calibri" w:cstheme="minorHAnsi"/>
        </w:rPr>
        <w:t xml:space="preserve">come il bacino padano. </w:t>
      </w:r>
      <w:r w:rsidR="00ED6CA5" w:rsidRPr="00AD20CD">
        <w:rPr>
          <w:rFonts w:eastAsia="Calibri" w:cstheme="minorHAnsi"/>
        </w:rPr>
        <w:t xml:space="preserve">La </w:t>
      </w:r>
      <w:r w:rsidR="003645F5" w:rsidRPr="00AD20CD">
        <w:rPr>
          <w:rFonts w:eastAsia="Calibri" w:cstheme="minorHAnsi"/>
        </w:rPr>
        <w:t xml:space="preserve">maggior </w:t>
      </w:r>
      <w:r w:rsidR="00ED6CA5" w:rsidRPr="00AD20CD">
        <w:rPr>
          <w:rFonts w:eastAsia="Calibri" w:cstheme="minorHAnsi"/>
        </w:rPr>
        <w:t>parte delle emissioni di</w:t>
      </w:r>
      <w:r w:rsidR="003645F5" w:rsidRPr="00AD20CD">
        <w:rPr>
          <w:rFonts w:eastAsia="Calibri" w:cstheme="minorHAnsi"/>
        </w:rPr>
        <w:t xml:space="preserve"> PM10 </w:t>
      </w:r>
      <w:r w:rsidR="00ED6CA5" w:rsidRPr="00AD20CD">
        <w:rPr>
          <w:rFonts w:eastAsia="Calibri" w:cstheme="minorHAnsi"/>
        </w:rPr>
        <w:t>viene da stufe e caminetti datati e caratte</w:t>
      </w:r>
      <w:r w:rsidR="005B160E" w:rsidRPr="00AD20CD">
        <w:rPr>
          <w:rFonts w:eastAsia="Calibri" w:cstheme="minorHAnsi"/>
        </w:rPr>
        <w:t>rizzati da tecnologie di combu</w:t>
      </w:r>
      <w:r w:rsidR="00ED6CA5" w:rsidRPr="00AD20CD">
        <w:rPr>
          <w:rFonts w:eastAsia="Calibri" w:cstheme="minorHAnsi"/>
        </w:rPr>
        <w:t>stione</w:t>
      </w:r>
      <w:r w:rsidR="005B160E" w:rsidRPr="00AD20CD">
        <w:rPr>
          <w:rFonts w:eastAsia="Calibri" w:cstheme="minorHAnsi"/>
        </w:rPr>
        <w:t xml:space="preserve"> ormai obsolete e</w:t>
      </w:r>
      <w:r w:rsidR="00ED6CA5" w:rsidRPr="00AD20CD">
        <w:rPr>
          <w:rFonts w:eastAsia="Calibri" w:cstheme="minorHAnsi"/>
        </w:rPr>
        <w:t xml:space="preserve"> superate</w:t>
      </w:r>
      <w:r w:rsidR="00ED6CA5" w:rsidRPr="00AD20CD">
        <w:rPr>
          <w:rFonts w:eastAsia="Calibri" w:cstheme="minorHAnsi"/>
          <w:b/>
        </w:rPr>
        <w:t xml:space="preserve">. Gli apparecchi a legna e pellet installati in Italia da </w:t>
      </w:r>
      <w:proofErr w:type="spellStart"/>
      <w:r w:rsidR="00ED6CA5" w:rsidRPr="00AD20CD">
        <w:rPr>
          <w:rFonts w:eastAsia="Calibri" w:cstheme="minorHAnsi"/>
          <w:b/>
        </w:rPr>
        <w:t>piu</w:t>
      </w:r>
      <w:proofErr w:type="spellEnd"/>
      <w:r w:rsidR="00ED6CA5" w:rsidRPr="00AD20CD">
        <w:rPr>
          <w:rFonts w:eastAsia="Calibri" w:cstheme="minorHAnsi"/>
          <w:b/>
        </w:rPr>
        <w:t xml:space="preserve">̀ di 10 anni </w:t>
      </w:r>
      <w:r w:rsidR="005A6F19" w:rsidRPr="00AD20CD">
        <w:rPr>
          <w:rFonts w:eastAsia="Calibri" w:cstheme="minorHAnsi"/>
          <w:b/>
        </w:rPr>
        <w:t>sono</w:t>
      </w:r>
      <w:r w:rsidR="00ED6CA5" w:rsidRPr="00AD20CD">
        <w:rPr>
          <w:rFonts w:eastAsia="Calibri" w:cstheme="minorHAnsi"/>
          <w:b/>
        </w:rPr>
        <w:t xml:space="preserve"> il 70% del parco installato, circa 6,3 mili</w:t>
      </w:r>
      <w:r w:rsidR="00FF196D" w:rsidRPr="00AD20CD">
        <w:rPr>
          <w:rFonts w:eastAsia="Calibri" w:cstheme="minorHAnsi"/>
          <w:b/>
        </w:rPr>
        <w:t xml:space="preserve">oni, e contribuiscono </w:t>
      </w:r>
      <w:r w:rsidR="00F771B5" w:rsidRPr="00AD20CD">
        <w:rPr>
          <w:rFonts w:eastAsia="Calibri" w:cstheme="minorHAnsi"/>
          <w:b/>
        </w:rPr>
        <w:t>al</w:t>
      </w:r>
      <w:r w:rsidR="00ED6CA5" w:rsidRPr="00AD20CD">
        <w:rPr>
          <w:rFonts w:eastAsia="Calibri" w:cstheme="minorHAnsi"/>
          <w:b/>
        </w:rPr>
        <w:t xml:space="preserve">l’86% del PM10 derivante dalla combustione domestica </w:t>
      </w:r>
      <w:r w:rsidR="00F771B5" w:rsidRPr="00AD20CD">
        <w:rPr>
          <w:rFonts w:eastAsia="Calibri" w:cstheme="minorHAnsi"/>
          <w:b/>
        </w:rPr>
        <w:t>di</w:t>
      </w:r>
      <w:r w:rsidR="00ED6CA5" w:rsidRPr="00AD20CD">
        <w:rPr>
          <w:rFonts w:eastAsia="Calibri" w:cstheme="minorHAnsi"/>
          <w:b/>
        </w:rPr>
        <w:t xml:space="preserve"> biomassa (AIEL 2020). </w:t>
      </w:r>
    </w:p>
    <w:p w14:paraId="7948527F" w14:textId="77777777" w:rsidR="00F64AFC" w:rsidRPr="00AD20CD" w:rsidRDefault="00F64AFC" w:rsidP="00297D2D">
      <w:pPr>
        <w:tabs>
          <w:tab w:val="left" w:pos="5541"/>
        </w:tabs>
        <w:spacing w:after="0" w:line="240" w:lineRule="auto"/>
        <w:jc w:val="center"/>
        <w:rPr>
          <w:rFonts w:eastAsia="Calibri" w:cstheme="minorHAnsi"/>
        </w:rPr>
      </w:pPr>
    </w:p>
    <w:p w14:paraId="0C5698DD" w14:textId="0F221AF8" w:rsidR="005A6F19" w:rsidRPr="00AD20CD" w:rsidRDefault="00F64AFC" w:rsidP="00297D2D">
      <w:pPr>
        <w:tabs>
          <w:tab w:val="left" w:pos="5541"/>
        </w:tabs>
        <w:spacing w:after="0" w:line="240" w:lineRule="auto"/>
        <w:jc w:val="center"/>
        <w:rPr>
          <w:rFonts w:eastAsia="Calibri" w:cstheme="minorHAnsi"/>
        </w:rPr>
      </w:pPr>
      <w:r w:rsidRPr="00AD20CD">
        <w:rPr>
          <w:rFonts w:eastAsia="Calibri" w:cstheme="minorHAnsi"/>
          <w:noProof/>
        </w:rPr>
        <w:drawing>
          <wp:inline distT="0" distB="0" distL="0" distR="0" wp14:anchorId="2295E7A6" wp14:editId="2DF00D5B">
            <wp:extent cx="3345706" cy="2456688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_Problem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3066" cy="2462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7D2D" w:rsidRPr="00AD20CD">
        <w:rPr>
          <w:rFonts w:eastAsia="Calibri" w:cstheme="minorHAnsi"/>
        </w:rPr>
        <w:br w:type="textWrapping" w:clear="all"/>
      </w:r>
      <w:r w:rsidR="005A6F19" w:rsidRPr="00AD20CD">
        <w:rPr>
          <w:rFonts w:eastAsia="Calibri" w:cstheme="minorHAnsi"/>
          <w:i/>
        </w:rPr>
        <w:t xml:space="preserve">figura 1. Emissioni di PM10 </w:t>
      </w:r>
      <w:r w:rsidR="00BC6BAF" w:rsidRPr="00AD20CD">
        <w:rPr>
          <w:rFonts w:eastAsia="Calibri" w:cstheme="minorHAnsi"/>
          <w:i/>
        </w:rPr>
        <w:t>imputabili a generatori obsoleti e conduzione impropria</w:t>
      </w:r>
    </w:p>
    <w:p w14:paraId="71331539" w14:textId="77777777" w:rsidR="005A6F19" w:rsidRPr="00AD20CD" w:rsidRDefault="005A6F19" w:rsidP="00AC4683">
      <w:pPr>
        <w:tabs>
          <w:tab w:val="left" w:pos="5541"/>
        </w:tabs>
        <w:spacing w:after="0" w:line="240" w:lineRule="auto"/>
        <w:jc w:val="center"/>
        <w:rPr>
          <w:rFonts w:eastAsia="Calibri" w:cstheme="minorHAnsi"/>
        </w:rPr>
      </w:pPr>
    </w:p>
    <w:p w14:paraId="4FC21BB9" w14:textId="77777777" w:rsidR="00A91A03" w:rsidRPr="00AD20CD" w:rsidRDefault="00900BD3" w:rsidP="00900BD3">
      <w:pPr>
        <w:tabs>
          <w:tab w:val="left" w:pos="5541"/>
        </w:tabs>
        <w:spacing w:after="0" w:line="240" w:lineRule="auto"/>
        <w:jc w:val="both"/>
        <w:outlineLvl w:val="0"/>
        <w:rPr>
          <w:rFonts w:eastAsia="Calibri" w:cstheme="minorHAnsi"/>
          <w:b/>
        </w:rPr>
      </w:pPr>
      <w:r w:rsidRPr="00AD20CD">
        <w:rPr>
          <w:rFonts w:eastAsia="Calibri" w:cstheme="minorHAnsi"/>
          <w:b/>
        </w:rPr>
        <w:t xml:space="preserve">LA SOLUZIONE: ROTTAMARE </w:t>
      </w:r>
      <w:proofErr w:type="gramStart"/>
      <w:r w:rsidRPr="00AD20CD">
        <w:rPr>
          <w:rFonts w:eastAsia="Calibri" w:cstheme="minorHAnsi"/>
          <w:b/>
        </w:rPr>
        <w:t>ED</w:t>
      </w:r>
      <w:proofErr w:type="gramEnd"/>
      <w:r w:rsidRPr="00AD20CD">
        <w:rPr>
          <w:rFonts w:eastAsia="Calibri" w:cstheme="minorHAnsi"/>
          <w:b/>
        </w:rPr>
        <w:t xml:space="preserve"> EDUCARE</w:t>
      </w:r>
    </w:p>
    <w:p w14:paraId="22406F95" w14:textId="77777777" w:rsidR="00C61DD4" w:rsidRDefault="00A91A03" w:rsidP="00900BD3">
      <w:pPr>
        <w:tabs>
          <w:tab w:val="left" w:pos="5541"/>
        </w:tabs>
        <w:spacing w:after="0" w:line="240" w:lineRule="auto"/>
        <w:jc w:val="both"/>
        <w:rPr>
          <w:rFonts w:cstheme="minorHAnsi"/>
        </w:rPr>
      </w:pPr>
      <w:r w:rsidRPr="00AD20CD">
        <w:rPr>
          <w:rFonts w:eastAsia="Calibri" w:cstheme="minorHAnsi"/>
        </w:rPr>
        <w:t>La</w:t>
      </w:r>
      <w:r w:rsidR="000905AF" w:rsidRPr="00AD20CD">
        <w:rPr>
          <w:rFonts w:eastAsia="Calibri" w:cstheme="minorHAnsi"/>
        </w:rPr>
        <w:t xml:space="preserve"> </w:t>
      </w:r>
      <w:r w:rsidRPr="00AD20CD">
        <w:rPr>
          <w:rFonts w:eastAsia="Calibri" w:cstheme="minorHAnsi"/>
        </w:rPr>
        <w:t xml:space="preserve">strategia elaborata da AIEL propone di </w:t>
      </w:r>
      <w:r w:rsidR="00275DB1" w:rsidRPr="00AD20CD">
        <w:rPr>
          <w:rFonts w:eastAsia="Calibri" w:cstheme="minorHAnsi"/>
          <w:b/>
        </w:rPr>
        <w:t xml:space="preserve">incentivare </w:t>
      </w:r>
      <w:r w:rsidR="00774022" w:rsidRPr="00AD20CD">
        <w:rPr>
          <w:rFonts w:eastAsia="Calibri" w:cstheme="minorHAnsi"/>
          <w:b/>
        </w:rPr>
        <w:t>la sostituzio</w:t>
      </w:r>
      <w:r w:rsidR="00ED6CA5" w:rsidRPr="00AD20CD">
        <w:rPr>
          <w:rFonts w:eastAsia="Calibri" w:cstheme="minorHAnsi"/>
          <w:b/>
        </w:rPr>
        <w:t>ne</w:t>
      </w:r>
      <w:r w:rsidR="00275DB1" w:rsidRPr="00AD20CD">
        <w:rPr>
          <w:rFonts w:eastAsia="Calibri" w:cstheme="minorHAnsi"/>
          <w:b/>
        </w:rPr>
        <w:t xml:space="preserve"> dei generatori vecchi ed inquinanti</w:t>
      </w:r>
      <w:r w:rsidR="00ED6CA5" w:rsidRPr="00AD20CD">
        <w:rPr>
          <w:rFonts w:eastAsia="Calibri" w:cstheme="minorHAnsi"/>
        </w:rPr>
        <w:t xml:space="preserve"> con sistemi di riscaldamento a leg</w:t>
      </w:r>
      <w:r w:rsidR="00103B18" w:rsidRPr="00AD20CD">
        <w:rPr>
          <w:rFonts w:eastAsia="Calibri" w:cstheme="minorHAnsi"/>
        </w:rPr>
        <w:t>na</w:t>
      </w:r>
      <w:r w:rsidR="009B573A" w:rsidRPr="00AD20CD">
        <w:rPr>
          <w:rFonts w:eastAsia="Calibri" w:cstheme="minorHAnsi"/>
        </w:rPr>
        <w:t xml:space="preserve"> e pellet moderni ed efficienti,</w:t>
      </w:r>
      <w:r w:rsidR="00C538D4" w:rsidRPr="00AD20CD">
        <w:rPr>
          <w:rFonts w:eastAsia="Calibri" w:cstheme="minorHAnsi"/>
        </w:rPr>
        <w:t xml:space="preserve"> caratte</w:t>
      </w:r>
      <w:r w:rsidR="00ED6CA5" w:rsidRPr="00AD20CD">
        <w:rPr>
          <w:rFonts w:eastAsia="Calibri" w:cstheme="minorHAnsi"/>
        </w:rPr>
        <w:t>rizzati da emissioni di PM10 da 4 a 8 volte inferiori rispetto alle tecnologi</w:t>
      </w:r>
      <w:r w:rsidR="00275DB1" w:rsidRPr="00AD20CD">
        <w:rPr>
          <w:rFonts w:eastAsia="Calibri" w:cstheme="minorHAnsi"/>
        </w:rPr>
        <w:t xml:space="preserve">e </w:t>
      </w:r>
      <w:proofErr w:type="spellStart"/>
      <w:r w:rsidR="00275DB1" w:rsidRPr="00AD20CD">
        <w:rPr>
          <w:rFonts w:eastAsia="Calibri" w:cstheme="minorHAnsi"/>
        </w:rPr>
        <w:t>piu</w:t>
      </w:r>
      <w:proofErr w:type="spellEnd"/>
      <w:r w:rsidR="00275DB1" w:rsidRPr="00AD20CD">
        <w:rPr>
          <w:rFonts w:eastAsia="Calibri" w:cstheme="minorHAnsi"/>
        </w:rPr>
        <w:t xml:space="preserve">̀ datate. </w:t>
      </w:r>
      <w:r w:rsidR="00C61DD4">
        <w:rPr>
          <w:rFonts w:eastAsia="Calibri" w:cstheme="minorHAnsi"/>
        </w:rPr>
        <w:t>Il percorso del</w:t>
      </w:r>
      <w:r w:rsidR="00080203" w:rsidRPr="00AD20CD">
        <w:rPr>
          <w:rFonts w:eastAsia="Calibri" w:cstheme="minorHAnsi"/>
        </w:rPr>
        <w:t xml:space="preserve"> turn</w:t>
      </w:r>
      <w:r w:rsidRPr="00AD20CD">
        <w:rPr>
          <w:rFonts w:eastAsia="Calibri" w:cstheme="minorHAnsi"/>
        </w:rPr>
        <w:t>over tecnologico</w:t>
      </w:r>
      <w:r w:rsidR="009560D9">
        <w:rPr>
          <w:rFonts w:eastAsia="Calibri" w:cstheme="minorHAnsi"/>
        </w:rPr>
        <w:t>,</w:t>
      </w:r>
      <w:r w:rsidR="00F17F44" w:rsidRPr="00AD20CD">
        <w:rPr>
          <w:rFonts w:eastAsia="Calibri" w:cstheme="minorHAnsi"/>
        </w:rPr>
        <w:t xml:space="preserve"> che AIEL ha stimato in circa 350 mila nuovi generatori l’anno</w:t>
      </w:r>
      <w:r w:rsidR="00C61DD4">
        <w:rPr>
          <w:rFonts w:eastAsia="Calibri" w:cstheme="minorHAnsi"/>
        </w:rPr>
        <w:t xml:space="preserve"> per 10 anni</w:t>
      </w:r>
      <w:r w:rsidR="009560D9">
        <w:rPr>
          <w:rFonts w:eastAsia="Calibri" w:cstheme="minorHAnsi"/>
        </w:rPr>
        <w:t>,</w:t>
      </w:r>
      <w:r w:rsidRPr="00AD20CD">
        <w:rPr>
          <w:rFonts w:eastAsia="Calibri" w:cstheme="minorHAnsi"/>
        </w:rPr>
        <w:t xml:space="preserve"> è la soluzione per contribuire alla riduzione dell’impatto della combustione domestica di legna da ardere e pellet sulla </w:t>
      </w:r>
      <w:proofErr w:type="spellStart"/>
      <w:r w:rsidRPr="00AD20CD">
        <w:rPr>
          <w:rFonts w:eastAsia="Calibri" w:cstheme="minorHAnsi"/>
        </w:rPr>
        <w:t>qualita</w:t>
      </w:r>
      <w:proofErr w:type="spellEnd"/>
      <w:r w:rsidRPr="00AD20CD">
        <w:rPr>
          <w:rFonts w:eastAsia="Calibri" w:cstheme="minorHAnsi"/>
        </w:rPr>
        <w:t>̀ dell’aria.</w:t>
      </w:r>
      <w:r w:rsidR="006B2429" w:rsidRPr="00AD20CD">
        <w:rPr>
          <w:rFonts w:cstheme="minorHAnsi"/>
        </w:rPr>
        <w:t xml:space="preserve"> </w:t>
      </w:r>
    </w:p>
    <w:p w14:paraId="64AE7753" w14:textId="53E5642A" w:rsidR="00900BD3" w:rsidRPr="00AD20CD" w:rsidRDefault="00900BD3" w:rsidP="00900BD3">
      <w:pPr>
        <w:tabs>
          <w:tab w:val="left" w:pos="5541"/>
        </w:tabs>
        <w:spacing w:after="0" w:line="240" w:lineRule="auto"/>
        <w:jc w:val="both"/>
        <w:rPr>
          <w:rFonts w:cstheme="minorHAnsi"/>
        </w:rPr>
      </w:pPr>
      <w:r w:rsidRPr="00AD20CD">
        <w:rPr>
          <w:rFonts w:eastAsia="Calibri" w:cstheme="minorHAnsi"/>
        </w:rPr>
        <w:lastRenderedPageBreak/>
        <w:t xml:space="preserve">È </w:t>
      </w:r>
      <w:r w:rsidR="000905AF" w:rsidRPr="00AD20CD">
        <w:rPr>
          <w:rFonts w:eastAsia="Calibri" w:cstheme="minorHAnsi"/>
        </w:rPr>
        <w:t xml:space="preserve">fondamentale </w:t>
      </w:r>
      <w:r w:rsidR="003645F5" w:rsidRPr="00AD20CD">
        <w:rPr>
          <w:rFonts w:eastAsia="Calibri" w:cstheme="minorHAnsi"/>
        </w:rPr>
        <w:t>inoltre</w:t>
      </w:r>
      <w:r w:rsidR="000905AF" w:rsidRPr="00AD20CD">
        <w:rPr>
          <w:rFonts w:eastAsia="Calibri" w:cstheme="minorHAnsi"/>
        </w:rPr>
        <w:t xml:space="preserve"> avviare</w:t>
      </w:r>
      <w:r w:rsidR="003718C6" w:rsidRPr="00AD20CD">
        <w:rPr>
          <w:rFonts w:eastAsia="Calibri" w:cstheme="minorHAnsi"/>
        </w:rPr>
        <w:t xml:space="preserve"> </w:t>
      </w:r>
      <w:r w:rsidR="003718C6" w:rsidRPr="00AD20CD">
        <w:rPr>
          <w:rFonts w:eastAsia="Calibri" w:cstheme="minorHAnsi"/>
          <w:b/>
        </w:rPr>
        <w:t>un’</w:t>
      </w:r>
      <w:r w:rsidR="000905AF" w:rsidRPr="00AD20CD">
        <w:rPr>
          <w:rFonts w:eastAsia="Calibri" w:cstheme="minorHAnsi"/>
          <w:b/>
        </w:rPr>
        <w:t xml:space="preserve">azione </w:t>
      </w:r>
      <w:r w:rsidR="00555323" w:rsidRPr="00AD20CD">
        <w:rPr>
          <w:rFonts w:eastAsia="Calibri" w:cstheme="minorHAnsi"/>
          <w:b/>
        </w:rPr>
        <w:t xml:space="preserve">incisiva </w:t>
      </w:r>
      <w:r w:rsidR="000905AF" w:rsidRPr="00AD20CD">
        <w:rPr>
          <w:rFonts w:eastAsia="Calibri" w:cstheme="minorHAnsi"/>
          <w:b/>
        </w:rPr>
        <w:t>di informazione e sensibilizzazione degli utenti finali</w:t>
      </w:r>
      <w:r w:rsidR="000905AF" w:rsidRPr="00AD20CD">
        <w:rPr>
          <w:rFonts w:eastAsia="Calibri" w:cstheme="minorHAnsi"/>
        </w:rPr>
        <w:t xml:space="preserve">, in particolare di chi utilizza legna da ardere. Una conduzione scorretta dell’apparecchio a legna </w:t>
      </w:r>
      <w:proofErr w:type="spellStart"/>
      <w:proofErr w:type="gramStart"/>
      <w:r w:rsidR="000905AF" w:rsidRPr="00AD20CD">
        <w:rPr>
          <w:rFonts w:eastAsia="Calibri" w:cstheme="minorHAnsi"/>
        </w:rPr>
        <w:t>puo</w:t>
      </w:r>
      <w:proofErr w:type="spellEnd"/>
      <w:r w:rsidR="000905AF" w:rsidRPr="00AD20CD">
        <w:rPr>
          <w:rFonts w:eastAsia="Calibri" w:cstheme="minorHAnsi"/>
        </w:rPr>
        <w:t>̀ infatti</w:t>
      </w:r>
      <w:proofErr w:type="gramEnd"/>
      <w:r w:rsidR="000905AF" w:rsidRPr="00AD20CD">
        <w:rPr>
          <w:rFonts w:eastAsia="Calibri" w:cstheme="minorHAnsi"/>
        </w:rPr>
        <w:t xml:space="preserve"> causare incrementi notevoli delle emissioni di PM10 e di carbonio organico, responsabile della formazione di PM10 in atmosfera, anche di 10 volte rispetto a un utilizzo ottimale.</w:t>
      </w:r>
    </w:p>
    <w:p w14:paraId="1424934E" w14:textId="095CD679" w:rsidR="00BB2BD9" w:rsidRPr="00AD20CD" w:rsidRDefault="00BB2BD9" w:rsidP="00900BD3">
      <w:pPr>
        <w:tabs>
          <w:tab w:val="left" w:pos="5541"/>
        </w:tabs>
        <w:spacing w:after="0" w:line="240" w:lineRule="auto"/>
        <w:jc w:val="both"/>
        <w:outlineLvl w:val="0"/>
        <w:rPr>
          <w:rFonts w:eastAsia="Calibri" w:cstheme="minorHAnsi"/>
          <w:b/>
        </w:rPr>
      </w:pPr>
    </w:p>
    <w:p w14:paraId="499C84AC" w14:textId="093EC592" w:rsidR="003245B9" w:rsidRPr="00AD20CD" w:rsidRDefault="003245B9" w:rsidP="003245B9">
      <w:pPr>
        <w:tabs>
          <w:tab w:val="left" w:pos="5541"/>
        </w:tabs>
        <w:spacing w:after="0" w:line="240" w:lineRule="auto"/>
        <w:jc w:val="center"/>
        <w:outlineLvl w:val="0"/>
        <w:rPr>
          <w:rFonts w:eastAsia="Calibri" w:cstheme="minorHAnsi"/>
          <w:b/>
        </w:rPr>
      </w:pPr>
      <w:r w:rsidRPr="00AD20CD">
        <w:rPr>
          <w:rFonts w:eastAsia="Calibri" w:cstheme="minorHAnsi"/>
          <w:b/>
          <w:noProof/>
        </w:rPr>
        <w:drawing>
          <wp:inline distT="0" distB="0" distL="0" distR="0" wp14:anchorId="482E1CD3" wp14:editId="0DA41BA3">
            <wp:extent cx="3973964" cy="2602992"/>
            <wp:effectExtent l="0" t="0" r="1270" b="63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2_La soluzion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9295" cy="2606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B7F6C" w14:textId="6BC4E9D8" w:rsidR="005A6F19" w:rsidRPr="00AD20CD" w:rsidRDefault="005A6F19" w:rsidP="003245B9">
      <w:pPr>
        <w:tabs>
          <w:tab w:val="left" w:pos="5541"/>
        </w:tabs>
        <w:spacing w:after="0" w:line="240" w:lineRule="auto"/>
        <w:jc w:val="center"/>
        <w:outlineLvl w:val="0"/>
        <w:rPr>
          <w:rFonts w:eastAsia="Calibri" w:cstheme="minorHAnsi"/>
          <w:i/>
        </w:rPr>
      </w:pPr>
      <w:r w:rsidRPr="00AD20CD">
        <w:rPr>
          <w:rFonts w:eastAsia="Calibri" w:cstheme="minorHAnsi"/>
          <w:i/>
        </w:rPr>
        <w:t xml:space="preserve">figura 2. Le stime </w:t>
      </w:r>
      <w:r w:rsidR="0003187E" w:rsidRPr="00AD20CD">
        <w:rPr>
          <w:rFonts w:eastAsia="Calibri" w:cstheme="minorHAnsi"/>
          <w:i/>
        </w:rPr>
        <w:t>di AIEL sugli</w:t>
      </w:r>
      <w:r w:rsidRPr="00AD20CD">
        <w:rPr>
          <w:rFonts w:eastAsia="Calibri" w:cstheme="minorHAnsi"/>
          <w:i/>
        </w:rPr>
        <w:t xml:space="preserve"> effetti di turn</w:t>
      </w:r>
      <w:r w:rsidR="0003187E" w:rsidRPr="00AD20CD">
        <w:rPr>
          <w:rFonts w:eastAsia="Calibri" w:cstheme="minorHAnsi"/>
          <w:i/>
        </w:rPr>
        <w:t xml:space="preserve"> </w:t>
      </w:r>
      <w:r w:rsidRPr="00AD20CD">
        <w:rPr>
          <w:rFonts w:eastAsia="Calibri" w:cstheme="minorHAnsi"/>
          <w:i/>
        </w:rPr>
        <w:t xml:space="preserve">over tecnologico e informazione dell’utente in </w:t>
      </w:r>
      <w:proofErr w:type="gramStart"/>
      <w:r w:rsidRPr="00AD20CD">
        <w:rPr>
          <w:rFonts w:eastAsia="Calibri" w:cstheme="minorHAnsi"/>
          <w:i/>
        </w:rPr>
        <w:t>10</w:t>
      </w:r>
      <w:proofErr w:type="gramEnd"/>
      <w:r w:rsidRPr="00AD20CD">
        <w:rPr>
          <w:rFonts w:eastAsia="Calibri" w:cstheme="minorHAnsi"/>
          <w:i/>
        </w:rPr>
        <w:t xml:space="preserve"> anni</w:t>
      </w:r>
    </w:p>
    <w:p w14:paraId="3E141B4A" w14:textId="77777777" w:rsidR="005A6F19" w:rsidRPr="00AD20CD" w:rsidRDefault="005A6F19" w:rsidP="00900BD3">
      <w:pPr>
        <w:tabs>
          <w:tab w:val="left" w:pos="5541"/>
        </w:tabs>
        <w:spacing w:after="0" w:line="240" w:lineRule="auto"/>
        <w:jc w:val="both"/>
        <w:outlineLvl w:val="0"/>
        <w:rPr>
          <w:rFonts w:eastAsia="Calibri" w:cstheme="minorHAnsi"/>
          <w:b/>
        </w:rPr>
      </w:pPr>
    </w:p>
    <w:p w14:paraId="2467C38C" w14:textId="77777777" w:rsidR="006B2429" w:rsidRPr="00AD20CD" w:rsidRDefault="006B2429" w:rsidP="00900BD3">
      <w:pPr>
        <w:tabs>
          <w:tab w:val="left" w:pos="5541"/>
        </w:tabs>
        <w:spacing w:after="0" w:line="240" w:lineRule="auto"/>
        <w:jc w:val="both"/>
        <w:outlineLvl w:val="0"/>
        <w:rPr>
          <w:rFonts w:eastAsia="Calibri" w:cstheme="minorHAnsi"/>
          <w:b/>
        </w:rPr>
      </w:pPr>
      <w:r w:rsidRPr="00AD20CD">
        <w:rPr>
          <w:rFonts w:eastAsia="Calibri" w:cstheme="minorHAnsi"/>
          <w:b/>
        </w:rPr>
        <w:t>I PRIMI RISULTATI</w:t>
      </w:r>
    </w:p>
    <w:p w14:paraId="3BC58749" w14:textId="6BFD4F25" w:rsidR="009B573A" w:rsidRPr="00AD20CD" w:rsidRDefault="006B2429" w:rsidP="00900BD3">
      <w:pPr>
        <w:tabs>
          <w:tab w:val="left" w:pos="5541"/>
        </w:tabs>
        <w:spacing w:after="0" w:line="240" w:lineRule="auto"/>
        <w:jc w:val="both"/>
        <w:outlineLvl w:val="0"/>
        <w:rPr>
          <w:rFonts w:eastAsia="Calibri" w:cstheme="minorHAnsi"/>
        </w:rPr>
      </w:pPr>
      <w:r w:rsidRPr="00AD20CD">
        <w:rPr>
          <w:rFonts w:eastAsia="Calibri" w:cstheme="minorHAnsi"/>
        </w:rPr>
        <w:t>In Italia</w:t>
      </w:r>
      <w:r w:rsidR="009560D9">
        <w:rPr>
          <w:rFonts w:eastAsia="Calibri" w:cstheme="minorHAnsi"/>
        </w:rPr>
        <w:t>,</w:t>
      </w:r>
      <w:r w:rsidR="00AC4683" w:rsidRPr="00AD20CD">
        <w:rPr>
          <w:rFonts w:eastAsia="Calibri" w:cstheme="minorHAnsi"/>
        </w:rPr>
        <w:t xml:space="preserve"> </w:t>
      </w:r>
      <w:r w:rsidR="009560D9">
        <w:rPr>
          <w:rFonts w:eastAsia="Calibri" w:cstheme="minorHAnsi"/>
        </w:rPr>
        <w:t>n</w:t>
      </w:r>
      <w:r w:rsidR="00AC4683" w:rsidRPr="00AD20CD">
        <w:rPr>
          <w:rFonts w:eastAsia="Calibri" w:cstheme="minorHAnsi"/>
        </w:rPr>
        <w:t>ell’ultimo decennio il livello prestazionale e tecnologico dei sistemi di riscaldamento è cambiato: una parte delle tecnologie di combustione più obsolete sono state sostitute da apparecchi moderni, caratterizzati da elevata efficienza e ridotte emissioni.</w:t>
      </w:r>
      <w:r w:rsidR="0003187E" w:rsidRPr="00AD20CD">
        <w:rPr>
          <w:rFonts w:eastAsia="Calibri" w:cstheme="minorHAnsi"/>
        </w:rPr>
        <w:t xml:space="preserve"> Occorre velocizzare e irrobustire questo processo. </w:t>
      </w:r>
      <w:r w:rsidR="00AC4683" w:rsidRPr="00AD20CD">
        <w:rPr>
          <w:rFonts w:eastAsia="Calibri" w:cstheme="minorHAnsi"/>
        </w:rPr>
        <w:t>L</w:t>
      </w:r>
      <w:r w:rsidRPr="00AD20CD">
        <w:rPr>
          <w:rFonts w:eastAsia="Calibri" w:cstheme="minorHAnsi"/>
        </w:rPr>
        <w:t>e emissioni della combustione del legno</w:t>
      </w:r>
      <w:r w:rsidR="00AC4683" w:rsidRPr="00AD20CD">
        <w:rPr>
          <w:rFonts w:eastAsia="Calibri" w:cstheme="minorHAnsi"/>
        </w:rPr>
        <w:t xml:space="preserve"> nel Paese</w:t>
      </w:r>
      <w:r w:rsidRPr="00AD20CD">
        <w:rPr>
          <w:rFonts w:eastAsia="Calibri" w:cstheme="minorHAnsi"/>
        </w:rPr>
        <w:t xml:space="preserve"> sono diminuite del 23% dal 2010 al 2018, passando da 123.000 a </w:t>
      </w:r>
      <w:r w:rsidR="009B573A" w:rsidRPr="00AD20CD">
        <w:rPr>
          <w:rFonts w:eastAsia="Calibri" w:cstheme="minorHAnsi"/>
        </w:rPr>
        <w:t>95.000 tonnel</w:t>
      </w:r>
      <w:r w:rsidR="009560D9">
        <w:rPr>
          <w:rFonts w:eastAsia="Calibri" w:cstheme="minorHAnsi"/>
        </w:rPr>
        <w:t>late (Ispra 2020)</w:t>
      </w:r>
      <w:r w:rsidR="00275DB1" w:rsidRPr="00AD20CD">
        <w:rPr>
          <w:rFonts w:eastAsia="Calibri" w:cstheme="minorHAnsi"/>
        </w:rPr>
        <w:t xml:space="preserve">. </w:t>
      </w:r>
      <w:r w:rsidRPr="00AD20CD">
        <w:rPr>
          <w:rFonts w:eastAsia="Calibri" w:cstheme="minorHAnsi"/>
        </w:rPr>
        <w:t>In Lombardia, dove si consuma oltre il 10% della biomassa legnosa impiegata</w:t>
      </w:r>
      <w:r w:rsidRPr="00AD20CD">
        <w:rPr>
          <w:rFonts w:cstheme="minorHAnsi"/>
        </w:rPr>
        <w:t xml:space="preserve"> </w:t>
      </w:r>
      <w:r w:rsidRPr="00AD20CD">
        <w:rPr>
          <w:rFonts w:eastAsia="Calibri" w:cstheme="minorHAnsi"/>
        </w:rPr>
        <w:t xml:space="preserve">nel settore residenziale (Gse, 2019), i dati evidenziano </w:t>
      </w:r>
      <w:r w:rsidR="0003187E" w:rsidRPr="00AD20CD">
        <w:rPr>
          <w:rFonts w:eastAsia="Calibri" w:cstheme="minorHAnsi"/>
        </w:rPr>
        <w:t>come</w:t>
      </w:r>
      <w:r w:rsidRPr="00AD20CD">
        <w:rPr>
          <w:rFonts w:eastAsia="Calibri" w:cstheme="minorHAnsi"/>
        </w:rPr>
        <w:t xml:space="preserve"> nell’arco di 8 anni le emissioni di </w:t>
      </w:r>
      <w:r w:rsidR="009560D9">
        <w:rPr>
          <w:rFonts w:eastAsia="Calibri" w:cstheme="minorHAnsi"/>
        </w:rPr>
        <w:t>PM10</w:t>
      </w:r>
      <w:r w:rsidRPr="00AD20CD">
        <w:rPr>
          <w:rFonts w:eastAsia="Calibri" w:cstheme="minorHAnsi"/>
        </w:rPr>
        <w:t xml:space="preserve"> attribuite al settore del riscaldamento domestico a biomassa si </w:t>
      </w:r>
      <w:r w:rsidR="0003187E" w:rsidRPr="00AD20CD">
        <w:rPr>
          <w:rFonts w:eastAsia="Calibri" w:cstheme="minorHAnsi"/>
        </w:rPr>
        <w:t>siano</w:t>
      </w:r>
      <w:r w:rsidR="00F17F44" w:rsidRPr="00AD20CD">
        <w:rPr>
          <w:rFonts w:eastAsia="Calibri" w:cstheme="minorHAnsi"/>
        </w:rPr>
        <w:t xml:space="preserve"> ridotte del 30% circa, </w:t>
      </w:r>
      <w:r w:rsidR="00A323BB" w:rsidRPr="00AD20CD">
        <w:rPr>
          <w:rFonts w:eastAsia="Calibri" w:cstheme="minorHAnsi"/>
        </w:rPr>
        <w:t>con</w:t>
      </w:r>
      <w:r w:rsidRPr="00AD20CD">
        <w:rPr>
          <w:rFonts w:eastAsia="Calibri" w:cstheme="minorHAnsi"/>
        </w:rPr>
        <w:t xml:space="preserve"> un numero di apparecchi installati </w:t>
      </w:r>
      <w:r w:rsidR="00A323BB" w:rsidRPr="00AD20CD">
        <w:rPr>
          <w:rFonts w:eastAsia="Calibri" w:cstheme="minorHAnsi"/>
        </w:rPr>
        <w:t>invariato,</w:t>
      </w:r>
      <w:r w:rsidRPr="00AD20CD">
        <w:rPr>
          <w:rFonts w:eastAsia="Calibri" w:cstheme="minorHAnsi"/>
        </w:rPr>
        <w:t xml:space="preserve"> circa 600.000 unità. In Veneto, sulla base </w:t>
      </w:r>
      <w:r w:rsidR="0003187E" w:rsidRPr="00AD20CD">
        <w:rPr>
          <w:rFonts w:eastAsia="Calibri" w:cstheme="minorHAnsi"/>
        </w:rPr>
        <w:t>di un’</w:t>
      </w:r>
      <w:r w:rsidRPr="00AD20CD">
        <w:rPr>
          <w:rFonts w:eastAsia="Calibri" w:cstheme="minorHAnsi"/>
        </w:rPr>
        <w:t xml:space="preserve">indagine statistica </w:t>
      </w:r>
      <w:r w:rsidR="00915764" w:rsidRPr="00AD20CD">
        <w:rPr>
          <w:rFonts w:eastAsia="Calibri" w:cstheme="minorHAnsi"/>
        </w:rPr>
        <w:t xml:space="preserve">svolta </w:t>
      </w:r>
      <w:r w:rsidR="00AC4683" w:rsidRPr="00AD20CD">
        <w:rPr>
          <w:rFonts w:eastAsia="Calibri" w:cstheme="minorHAnsi"/>
        </w:rPr>
        <w:t>nell’am</w:t>
      </w:r>
      <w:r w:rsidRPr="00AD20CD">
        <w:rPr>
          <w:rFonts w:eastAsia="Calibri" w:cstheme="minorHAnsi"/>
        </w:rPr>
        <w:t xml:space="preserve">bito del progetto </w:t>
      </w:r>
      <w:proofErr w:type="spellStart"/>
      <w:r w:rsidRPr="00AD20CD">
        <w:rPr>
          <w:rFonts w:eastAsia="Calibri" w:cstheme="minorHAnsi"/>
        </w:rPr>
        <w:t>PrepAIR</w:t>
      </w:r>
      <w:proofErr w:type="spellEnd"/>
      <w:r w:rsidRPr="00AD20CD">
        <w:rPr>
          <w:rFonts w:eastAsia="Calibri" w:cstheme="minorHAnsi"/>
        </w:rPr>
        <w:t>, le emissioni si sono ridotte del 35% dal 2006 al 2018, ossia di</w:t>
      </w:r>
      <w:r w:rsidR="00F17F44" w:rsidRPr="00AD20CD">
        <w:rPr>
          <w:rFonts w:eastAsia="Calibri" w:cstheme="minorHAnsi"/>
        </w:rPr>
        <w:t xml:space="preserve"> circa 5.000 tonnellate di PM10.</w:t>
      </w:r>
    </w:p>
    <w:p w14:paraId="14D62B8E" w14:textId="748E95F3" w:rsidR="006B2429" w:rsidRPr="007E2235" w:rsidRDefault="006B2429" w:rsidP="009560D9">
      <w:pPr>
        <w:tabs>
          <w:tab w:val="left" w:pos="5541"/>
        </w:tabs>
        <w:spacing w:after="0" w:line="240" w:lineRule="auto"/>
        <w:rPr>
          <w:rFonts w:cstheme="minorHAnsi"/>
          <w:iCs/>
        </w:rPr>
      </w:pPr>
    </w:p>
    <w:p w14:paraId="34611B54" w14:textId="1297E351" w:rsidR="00F17F44" w:rsidRPr="00AD20CD" w:rsidRDefault="00F17F44" w:rsidP="00AC4683">
      <w:pPr>
        <w:tabs>
          <w:tab w:val="left" w:pos="5541"/>
        </w:tabs>
        <w:spacing w:after="0" w:line="240" w:lineRule="auto"/>
        <w:jc w:val="both"/>
        <w:rPr>
          <w:rFonts w:cstheme="minorHAnsi"/>
          <w:b/>
        </w:rPr>
      </w:pPr>
      <w:r w:rsidRPr="00AD20CD">
        <w:rPr>
          <w:rFonts w:cstheme="minorHAnsi"/>
          <w:b/>
        </w:rPr>
        <w:t>Il RUOLO DEL CONTO TERMICO</w:t>
      </w:r>
    </w:p>
    <w:p w14:paraId="120018EF" w14:textId="4ECF78EC" w:rsidR="00AC4683" w:rsidRPr="00AD20CD" w:rsidRDefault="001309B8" w:rsidP="00AC4683">
      <w:pPr>
        <w:tabs>
          <w:tab w:val="left" w:pos="5541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L</w:t>
      </w:r>
      <w:r w:rsidR="00BC6BAF" w:rsidRPr="00AD20CD">
        <w:rPr>
          <w:rFonts w:cstheme="minorHAnsi"/>
        </w:rPr>
        <w:t>’incentivo</w:t>
      </w:r>
      <w:r w:rsidR="00B35035">
        <w:rPr>
          <w:rFonts w:cstheme="minorHAnsi"/>
        </w:rPr>
        <w:t>,</w:t>
      </w:r>
      <w:r w:rsidR="00BC6BAF" w:rsidRPr="00AD20CD">
        <w:rPr>
          <w:rFonts w:cstheme="minorHAnsi"/>
        </w:rPr>
        <w:t xml:space="preserve"> messo a disposizione dei privati e della pubblica amministrazione per interventi volti all’incremento dell’efficienza energetica e alla produzione di energia termica da fonti rinnovabili, ha dato </w:t>
      </w:r>
      <w:r w:rsidR="00080203" w:rsidRPr="00AD20CD">
        <w:rPr>
          <w:rFonts w:cstheme="minorHAnsi"/>
        </w:rPr>
        <w:t>impulso al turn</w:t>
      </w:r>
      <w:r w:rsidR="00AC4683" w:rsidRPr="00AD20CD">
        <w:rPr>
          <w:rFonts w:cstheme="minorHAnsi"/>
        </w:rPr>
        <w:t>over tecnologico</w:t>
      </w:r>
      <w:r w:rsidR="00BC6BAF" w:rsidRPr="00AD20CD">
        <w:rPr>
          <w:rFonts w:cstheme="minorHAnsi"/>
        </w:rPr>
        <w:t>.</w:t>
      </w:r>
      <w:r w:rsidR="00AC4683" w:rsidRPr="00AD20CD">
        <w:rPr>
          <w:rFonts w:cstheme="minorHAnsi"/>
        </w:rPr>
        <w:t xml:space="preserve"> I</w:t>
      </w:r>
      <w:r w:rsidR="00BC6BAF" w:rsidRPr="00AD20CD">
        <w:rPr>
          <w:rFonts w:cstheme="minorHAnsi"/>
        </w:rPr>
        <w:t xml:space="preserve">l Conto Termico </w:t>
      </w:r>
      <w:proofErr w:type="gramStart"/>
      <w:r w:rsidR="00BC6BAF" w:rsidRPr="00AD20CD">
        <w:rPr>
          <w:rFonts w:cstheme="minorHAnsi"/>
        </w:rPr>
        <w:t>è tuttavia</w:t>
      </w:r>
      <w:proofErr w:type="gramEnd"/>
      <w:r w:rsidR="00BC6BAF" w:rsidRPr="00AD20CD">
        <w:rPr>
          <w:rFonts w:cstheme="minorHAnsi"/>
        </w:rPr>
        <w:t xml:space="preserve"> an</w:t>
      </w:r>
      <w:r w:rsidR="00AC4683" w:rsidRPr="00AD20CD">
        <w:rPr>
          <w:rFonts w:cstheme="minorHAnsi"/>
        </w:rPr>
        <w:t>cora poco c</w:t>
      </w:r>
      <w:r w:rsidR="00BC6BAF" w:rsidRPr="00AD20CD">
        <w:rPr>
          <w:rFonts w:cstheme="minorHAnsi"/>
        </w:rPr>
        <w:t>onosciuto e utilizzato: la spe</w:t>
      </w:r>
      <w:r w:rsidR="00AC4683" w:rsidRPr="00AD20CD">
        <w:rPr>
          <w:rFonts w:cstheme="minorHAnsi"/>
        </w:rPr>
        <w:t>sa annua nel 2019 per incentivare tutti gli interventi realizzati da privati (77,6% del totale) ammonta a 213,6 milioni di euro, a fronte di un limite di spesa annuo di 700 milioni di euro.</w:t>
      </w:r>
    </w:p>
    <w:p w14:paraId="5A653164" w14:textId="77777777" w:rsidR="005671A3" w:rsidRDefault="005671A3" w:rsidP="00900BD3">
      <w:pPr>
        <w:tabs>
          <w:tab w:val="left" w:pos="5541"/>
        </w:tabs>
        <w:spacing w:after="0" w:line="240" w:lineRule="auto"/>
        <w:jc w:val="both"/>
        <w:outlineLvl w:val="0"/>
        <w:rPr>
          <w:rFonts w:cstheme="minorHAnsi"/>
        </w:rPr>
      </w:pPr>
    </w:p>
    <w:p w14:paraId="01E9D652" w14:textId="37C34CC7" w:rsidR="005A6F19" w:rsidRPr="00AD20CD" w:rsidRDefault="00900BD3" w:rsidP="00900BD3">
      <w:pPr>
        <w:tabs>
          <w:tab w:val="left" w:pos="5541"/>
        </w:tabs>
        <w:spacing w:after="0" w:line="240" w:lineRule="auto"/>
        <w:jc w:val="both"/>
        <w:outlineLvl w:val="0"/>
        <w:rPr>
          <w:rFonts w:eastAsia="Calibri" w:cstheme="minorHAnsi"/>
          <w:b/>
        </w:rPr>
      </w:pPr>
      <w:r w:rsidRPr="00AD20CD">
        <w:rPr>
          <w:rFonts w:eastAsia="Calibri" w:cstheme="minorHAnsi"/>
          <w:b/>
        </w:rPr>
        <w:t>GLI STRUMENTI PER RAGGIUNGERE L’OBIETTIVO</w:t>
      </w:r>
    </w:p>
    <w:p w14:paraId="50F58BEB" w14:textId="7F3108CA" w:rsidR="00F17F44" w:rsidRDefault="00F17F44" w:rsidP="00F17F44">
      <w:pPr>
        <w:tabs>
          <w:tab w:val="left" w:pos="5541"/>
        </w:tabs>
        <w:spacing w:after="0" w:line="240" w:lineRule="auto"/>
        <w:jc w:val="both"/>
        <w:rPr>
          <w:rFonts w:eastAsia="Calibri" w:cstheme="minorHAnsi"/>
        </w:rPr>
      </w:pPr>
      <w:r w:rsidRPr="00AD20CD">
        <w:rPr>
          <w:rFonts w:eastAsia="Calibri" w:cstheme="minorHAnsi"/>
        </w:rPr>
        <w:t xml:space="preserve">Per raggiungere </w:t>
      </w:r>
      <w:r w:rsidR="007E2235">
        <w:rPr>
          <w:rFonts w:eastAsia="Calibri" w:cstheme="minorHAnsi"/>
        </w:rPr>
        <w:t>─</w:t>
      </w:r>
      <w:r w:rsidRPr="00AD20CD">
        <w:rPr>
          <w:rFonts w:eastAsia="Calibri" w:cstheme="minorHAnsi"/>
        </w:rPr>
        <w:t>70% di emissioni</w:t>
      </w:r>
      <w:r w:rsidR="00660FCC">
        <w:rPr>
          <w:rFonts w:eastAsia="Calibri" w:cstheme="minorHAnsi"/>
        </w:rPr>
        <w:t xml:space="preserve"> in dieci anni</w:t>
      </w:r>
      <w:r w:rsidRPr="00AD20CD">
        <w:rPr>
          <w:rFonts w:eastAsia="Calibri" w:cstheme="minorHAnsi"/>
        </w:rPr>
        <w:t xml:space="preserve"> è necessario confermare e migliorare i sistemi incentivanti esistenti a so</w:t>
      </w:r>
      <w:r w:rsidR="00AD20CD">
        <w:rPr>
          <w:rFonts w:eastAsia="Calibri" w:cstheme="minorHAnsi"/>
        </w:rPr>
        <w:t>stegno del turn</w:t>
      </w:r>
      <w:r w:rsidRPr="00AD20CD">
        <w:rPr>
          <w:rFonts w:eastAsia="Calibri" w:cstheme="minorHAnsi"/>
        </w:rPr>
        <w:t xml:space="preserve">over tecnologico, primo fra tutti il </w:t>
      </w:r>
      <w:r w:rsidRPr="00AD20CD">
        <w:rPr>
          <w:rFonts w:eastAsia="Calibri" w:cstheme="minorHAnsi"/>
          <w:b/>
        </w:rPr>
        <w:t>Conto Termico</w:t>
      </w:r>
      <w:r w:rsidRPr="00AD20CD">
        <w:rPr>
          <w:rFonts w:eastAsia="Calibri" w:cstheme="minorHAnsi"/>
        </w:rPr>
        <w:t xml:space="preserve">, prevedendone un potenziamento, non in termini di </w:t>
      </w:r>
      <w:r w:rsidRPr="00AD20CD">
        <w:rPr>
          <w:rFonts w:eastAsia="Calibri" w:cstheme="minorHAnsi"/>
          <w:i/>
        </w:rPr>
        <w:t>budget</w:t>
      </w:r>
      <w:r w:rsidRPr="00AD20CD">
        <w:rPr>
          <w:rFonts w:eastAsia="Calibri" w:cstheme="minorHAnsi"/>
        </w:rPr>
        <w:t xml:space="preserve">, ma di capacità di fruizione e di semplificazione del meccanismo di accesso. Un altro elemento è il rafforzamento dello schema di certificazione volontario dei generatori per il riscaldamento domestico alimentati a legna e pellet, </w:t>
      </w:r>
      <w:proofErr w:type="spellStart"/>
      <w:r w:rsidRPr="00AD20CD">
        <w:rPr>
          <w:rFonts w:eastAsia="Calibri" w:cstheme="minorHAnsi"/>
          <w:b/>
        </w:rPr>
        <w:t>ariaPulita</w:t>
      </w:r>
      <w:proofErr w:type="spellEnd"/>
      <w:r w:rsidRPr="00AD20CD">
        <w:rPr>
          <w:rFonts w:eastAsia="Calibri" w:cstheme="minorHAnsi"/>
          <w:b/>
        </w:rPr>
        <w:t>®</w:t>
      </w:r>
      <w:r w:rsidRPr="00AD20CD">
        <w:rPr>
          <w:rFonts w:eastAsia="Calibri" w:cstheme="minorHAnsi"/>
        </w:rPr>
        <w:t xml:space="preserve"> e l’utilizzo di </w:t>
      </w:r>
      <w:r w:rsidRPr="00AD20CD">
        <w:rPr>
          <w:rFonts w:eastAsia="Calibri" w:cstheme="minorHAnsi"/>
          <w:b/>
        </w:rPr>
        <w:t>combustibili legnosi certificati</w:t>
      </w:r>
      <w:r w:rsidRPr="00AD20CD">
        <w:rPr>
          <w:rFonts w:eastAsia="Calibri" w:cstheme="minorHAnsi"/>
        </w:rPr>
        <w:t xml:space="preserve">, come la </w:t>
      </w:r>
      <w:r w:rsidRPr="00AD20CD">
        <w:rPr>
          <w:rFonts w:eastAsia="Calibri" w:cstheme="minorHAnsi"/>
          <w:b/>
        </w:rPr>
        <w:t>certificazione del pellet EN</w:t>
      </w:r>
      <w:r w:rsidRPr="00AD20CD">
        <w:rPr>
          <w:rFonts w:eastAsia="Calibri" w:cstheme="minorHAnsi"/>
          <w:b/>
          <w:i/>
          <w:iCs/>
        </w:rPr>
        <w:t>plus</w:t>
      </w:r>
      <w:r w:rsidRPr="00AD20CD">
        <w:rPr>
          <w:rFonts w:eastAsia="Calibri" w:cstheme="minorHAnsi"/>
          <w:b/>
        </w:rPr>
        <w:t>®</w:t>
      </w:r>
      <w:r w:rsidRPr="00AD20CD">
        <w:rPr>
          <w:rFonts w:eastAsia="Calibri" w:cstheme="minorHAnsi"/>
        </w:rPr>
        <w:t xml:space="preserve"> e la </w:t>
      </w:r>
      <w:r w:rsidRPr="00AD20CD">
        <w:rPr>
          <w:rFonts w:eastAsia="Calibri" w:cstheme="minorHAnsi"/>
          <w:b/>
        </w:rPr>
        <w:t xml:space="preserve">certificazione di </w:t>
      </w:r>
      <w:proofErr w:type="spellStart"/>
      <w:r w:rsidRPr="00AD20CD">
        <w:rPr>
          <w:rFonts w:eastAsia="Calibri" w:cstheme="minorHAnsi"/>
          <w:b/>
        </w:rPr>
        <w:t>qualita</w:t>
      </w:r>
      <w:proofErr w:type="spellEnd"/>
      <w:r w:rsidRPr="00AD20CD">
        <w:rPr>
          <w:rFonts w:eastAsia="Calibri" w:cstheme="minorHAnsi"/>
          <w:b/>
        </w:rPr>
        <w:t xml:space="preserve">̀ di legna da ardere e cippato </w:t>
      </w:r>
      <w:proofErr w:type="spellStart"/>
      <w:r w:rsidRPr="00AD20CD">
        <w:rPr>
          <w:rFonts w:eastAsia="Calibri" w:cstheme="minorHAnsi"/>
          <w:b/>
        </w:rPr>
        <w:t>Biomass</w:t>
      </w:r>
      <w:r w:rsidRPr="00AD20CD">
        <w:rPr>
          <w:rFonts w:eastAsia="Calibri" w:cstheme="minorHAnsi"/>
          <w:b/>
          <w:i/>
          <w:iCs/>
        </w:rPr>
        <w:t>plus</w:t>
      </w:r>
      <w:proofErr w:type="spellEnd"/>
      <w:r w:rsidRPr="00AD20CD">
        <w:rPr>
          <w:rFonts w:eastAsia="Calibri" w:cstheme="minorHAnsi"/>
          <w:b/>
        </w:rPr>
        <w:t>®</w:t>
      </w:r>
      <w:r w:rsidRPr="00AD20CD">
        <w:rPr>
          <w:rFonts w:eastAsia="Calibri" w:cstheme="minorHAnsi"/>
        </w:rPr>
        <w:t xml:space="preserve">. </w:t>
      </w:r>
      <w:r w:rsidR="001309B8">
        <w:rPr>
          <w:rFonts w:eastAsia="Calibri" w:cstheme="minorHAnsi"/>
        </w:rPr>
        <w:t>Va ricordata anche l’importanza della</w:t>
      </w:r>
      <w:r w:rsidRPr="00AD20CD">
        <w:rPr>
          <w:rFonts w:eastAsia="Calibri" w:cstheme="minorHAnsi"/>
        </w:rPr>
        <w:t xml:space="preserve"> </w:t>
      </w:r>
      <w:r w:rsidRPr="00AD20CD">
        <w:rPr>
          <w:rFonts w:eastAsia="Calibri" w:cstheme="minorHAnsi"/>
          <w:b/>
        </w:rPr>
        <w:t>qualificazione professionale degli installatori e dei manutentori di impianti a biomasse</w:t>
      </w:r>
      <w:r w:rsidRPr="00AD20CD">
        <w:rPr>
          <w:rFonts w:eastAsia="Calibri" w:cstheme="minorHAnsi"/>
        </w:rPr>
        <w:t xml:space="preserve">. </w:t>
      </w:r>
    </w:p>
    <w:p w14:paraId="6857F0C0" w14:textId="77777777" w:rsidR="0063085C" w:rsidRDefault="0063085C" w:rsidP="009560D9">
      <w:pPr>
        <w:tabs>
          <w:tab w:val="left" w:pos="5541"/>
        </w:tabs>
        <w:spacing w:after="0" w:line="240" w:lineRule="auto"/>
        <w:jc w:val="both"/>
        <w:rPr>
          <w:rFonts w:eastAsia="Calibri" w:cstheme="minorHAnsi"/>
        </w:rPr>
      </w:pPr>
    </w:p>
    <w:p w14:paraId="129B8890" w14:textId="77777777" w:rsidR="0063085C" w:rsidRDefault="0063085C" w:rsidP="009560D9">
      <w:pPr>
        <w:tabs>
          <w:tab w:val="left" w:pos="5541"/>
        </w:tabs>
        <w:spacing w:after="0" w:line="240" w:lineRule="auto"/>
        <w:jc w:val="both"/>
        <w:rPr>
          <w:rFonts w:eastAsia="Calibri" w:cstheme="minorHAnsi"/>
        </w:rPr>
      </w:pPr>
    </w:p>
    <w:p w14:paraId="74416EF7" w14:textId="77777777" w:rsidR="0063085C" w:rsidRDefault="0063085C" w:rsidP="009560D9">
      <w:pPr>
        <w:tabs>
          <w:tab w:val="left" w:pos="5541"/>
        </w:tabs>
        <w:spacing w:after="0" w:line="240" w:lineRule="auto"/>
        <w:jc w:val="both"/>
        <w:rPr>
          <w:rFonts w:eastAsia="Calibri" w:cstheme="minorHAnsi"/>
        </w:rPr>
      </w:pPr>
    </w:p>
    <w:p w14:paraId="2D06DD7D" w14:textId="73D2ACF0" w:rsidR="009560D9" w:rsidRPr="00AD20CD" w:rsidRDefault="009560D9" w:rsidP="009560D9">
      <w:pPr>
        <w:tabs>
          <w:tab w:val="left" w:pos="5541"/>
        </w:tabs>
        <w:spacing w:after="0" w:line="240" w:lineRule="auto"/>
        <w:jc w:val="both"/>
        <w:rPr>
          <w:rFonts w:eastAsia="Calibri" w:cstheme="minorHAnsi"/>
          <w:b/>
        </w:rPr>
      </w:pPr>
      <w:r w:rsidRPr="00AD20CD">
        <w:rPr>
          <w:rFonts w:eastAsia="Calibri" w:cstheme="minorHAnsi"/>
          <w:b/>
        </w:rPr>
        <w:t xml:space="preserve">EDUCAZIONE E INFORMAZIONE DEGLI UTENTI </w:t>
      </w:r>
    </w:p>
    <w:p w14:paraId="1A2C3556" w14:textId="6AACE0E8" w:rsidR="009560D9" w:rsidRDefault="009560D9" w:rsidP="009560D9">
      <w:pPr>
        <w:tabs>
          <w:tab w:val="left" w:pos="5541"/>
        </w:tabs>
        <w:spacing w:after="0" w:line="240" w:lineRule="auto"/>
        <w:jc w:val="both"/>
        <w:rPr>
          <w:rFonts w:eastAsia="Calibri" w:cstheme="minorHAnsi"/>
        </w:rPr>
      </w:pPr>
      <w:r w:rsidRPr="00AD20CD">
        <w:rPr>
          <w:rFonts w:eastAsia="Calibri" w:cstheme="minorHAnsi"/>
        </w:rPr>
        <w:t xml:space="preserve">Sul fronte dell’educazione la sfida è di fornire ai consumatori informazioni fondamentali come gli impatti della combustione, le </w:t>
      </w:r>
      <w:proofErr w:type="spellStart"/>
      <w:r w:rsidRPr="00AD20CD">
        <w:rPr>
          <w:rFonts w:eastAsia="Calibri" w:cstheme="minorHAnsi"/>
        </w:rPr>
        <w:t>modalita</w:t>
      </w:r>
      <w:proofErr w:type="spellEnd"/>
      <w:r w:rsidRPr="00AD20CD">
        <w:rPr>
          <w:rFonts w:eastAsia="Calibri" w:cstheme="minorHAnsi"/>
        </w:rPr>
        <w:t>̀ di corretto utilizzo dei generatori, le norme di installazione, i controlli previsti e gli obblighi a cui adempiere</w:t>
      </w:r>
      <w:r w:rsidR="001309B8">
        <w:rPr>
          <w:rFonts w:eastAsia="Calibri" w:cstheme="minorHAnsi"/>
        </w:rPr>
        <w:t>,</w:t>
      </w:r>
      <w:r w:rsidRPr="00AD20CD">
        <w:rPr>
          <w:rFonts w:eastAsia="Calibri" w:cstheme="minorHAnsi"/>
        </w:rPr>
        <w:t xml:space="preserve"> oltre ai sistemi incentivanti </w:t>
      </w:r>
      <w:r w:rsidR="001309B8">
        <w:rPr>
          <w:rFonts w:eastAsia="Calibri" w:cstheme="minorHAnsi"/>
        </w:rPr>
        <w:t>per</w:t>
      </w:r>
      <w:r w:rsidRPr="00AD20CD">
        <w:rPr>
          <w:rFonts w:eastAsia="Calibri" w:cstheme="minorHAnsi"/>
        </w:rPr>
        <w:t xml:space="preserve"> accelerare il turnover tecnologico. </w:t>
      </w:r>
      <w:r w:rsidR="0063085C">
        <w:rPr>
          <w:rFonts w:eastAsia="Calibri" w:cstheme="minorHAnsi"/>
        </w:rPr>
        <w:t>L</w:t>
      </w:r>
      <w:r>
        <w:rPr>
          <w:rFonts w:eastAsia="Calibri" w:cstheme="minorHAnsi"/>
        </w:rPr>
        <w:t>’utente</w:t>
      </w:r>
      <w:r w:rsidRPr="00AD20CD">
        <w:rPr>
          <w:rFonts w:eastAsia="Calibri" w:cstheme="minorHAnsi"/>
        </w:rPr>
        <w:t xml:space="preserve"> </w:t>
      </w:r>
      <w:r w:rsidR="0063085C">
        <w:rPr>
          <w:rFonts w:eastAsia="Calibri" w:cstheme="minorHAnsi"/>
        </w:rPr>
        <w:t>deve imparare ad utilizzare</w:t>
      </w:r>
      <w:r w:rsidRPr="00AD20CD">
        <w:rPr>
          <w:rFonts w:eastAsia="Calibri" w:cstheme="minorHAnsi"/>
        </w:rPr>
        <w:t xml:space="preserve"> correttamente gli apparecchi, abbandonando comportamenti errati e sostituendo i</w:t>
      </w:r>
      <w:r w:rsidRPr="00AD20CD">
        <w:rPr>
          <w:rFonts w:cstheme="minorHAnsi"/>
        </w:rPr>
        <w:t xml:space="preserve"> </w:t>
      </w:r>
      <w:r w:rsidRPr="00AD20CD">
        <w:rPr>
          <w:rFonts w:eastAsia="Calibri" w:cstheme="minorHAnsi"/>
        </w:rPr>
        <w:t xml:space="preserve">vecchi impianti che non possono </w:t>
      </w:r>
      <w:proofErr w:type="spellStart"/>
      <w:r w:rsidRPr="00AD20CD">
        <w:rPr>
          <w:rFonts w:eastAsia="Calibri" w:cstheme="minorHAnsi"/>
        </w:rPr>
        <w:t>piu</w:t>
      </w:r>
      <w:proofErr w:type="spellEnd"/>
      <w:r w:rsidRPr="00AD20CD">
        <w:rPr>
          <w:rFonts w:eastAsia="Calibri" w:cstheme="minorHAnsi"/>
        </w:rPr>
        <w:t>̀ essere utilizzati</w:t>
      </w:r>
      <w:r w:rsidR="0063085C">
        <w:rPr>
          <w:rFonts w:eastAsia="Calibri" w:cstheme="minorHAnsi"/>
        </w:rPr>
        <w:t>.</w:t>
      </w:r>
    </w:p>
    <w:p w14:paraId="151E92E1" w14:textId="053D0192" w:rsidR="00F17F44" w:rsidRPr="00AD20CD" w:rsidRDefault="00F17F44" w:rsidP="00900BD3">
      <w:pPr>
        <w:tabs>
          <w:tab w:val="left" w:pos="5541"/>
        </w:tabs>
        <w:spacing w:after="0" w:line="240" w:lineRule="auto"/>
        <w:jc w:val="both"/>
        <w:outlineLvl w:val="0"/>
        <w:rPr>
          <w:rFonts w:eastAsia="Calibri" w:cstheme="minorHAnsi"/>
          <w:b/>
        </w:rPr>
      </w:pPr>
    </w:p>
    <w:p w14:paraId="02CFBCB1" w14:textId="5F7A7B7F" w:rsidR="005A6F19" w:rsidRPr="00AD20CD" w:rsidRDefault="00F17F44" w:rsidP="00900BD3">
      <w:pPr>
        <w:tabs>
          <w:tab w:val="left" w:pos="5541"/>
        </w:tabs>
        <w:spacing w:after="0" w:line="240" w:lineRule="auto"/>
        <w:jc w:val="both"/>
        <w:outlineLvl w:val="0"/>
        <w:rPr>
          <w:rFonts w:eastAsia="Calibri" w:cstheme="minorHAnsi"/>
          <w:b/>
        </w:rPr>
      </w:pPr>
      <w:r w:rsidRPr="00AD20CD">
        <w:rPr>
          <w:rFonts w:eastAsia="Calibri" w:cstheme="minorHAnsi"/>
          <w:b/>
          <w:noProof/>
        </w:rPr>
        <w:drawing>
          <wp:inline distT="0" distB="0" distL="0" distR="0" wp14:anchorId="78E0B144" wp14:editId="4D5042BA">
            <wp:extent cx="6120130" cy="6330315"/>
            <wp:effectExtent l="0" t="0" r="127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3_Strumenti INTER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33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5BC30" w14:textId="63311642" w:rsidR="00BC6BAF" w:rsidRPr="00AD20CD" w:rsidRDefault="00BC6BAF" w:rsidP="00AD20CD">
      <w:pPr>
        <w:tabs>
          <w:tab w:val="left" w:pos="5541"/>
        </w:tabs>
        <w:spacing w:after="0" w:line="240" w:lineRule="auto"/>
        <w:jc w:val="center"/>
        <w:outlineLvl w:val="0"/>
        <w:rPr>
          <w:rFonts w:eastAsia="Calibri" w:cstheme="minorHAnsi"/>
          <w:i/>
        </w:rPr>
      </w:pPr>
      <w:r w:rsidRPr="00AD20CD">
        <w:rPr>
          <w:rFonts w:eastAsia="Calibri" w:cstheme="minorHAnsi"/>
          <w:i/>
        </w:rPr>
        <w:t xml:space="preserve">figura </w:t>
      </w:r>
      <w:r w:rsidR="00BB776B">
        <w:rPr>
          <w:rFonts w:eastAsia="Calibri" w:cstheme="minorHAnsi"/>
          <w:i/>
        </w:rPr>
        <w:t>3</w:t>
      </w:r>
      <w:r w:rsidRPr="00AD20CD">
        <w:rPr>
          <w:rFonts w:eastAsia="Calibri" w:cstheme="minorHAnsi"/>
          <w:i/>
        </w:rPr>
        <w:t>. Stime della riduzione di PM10 derivante dalle azioni proposte</w:t>
      </w:r>
    </w:p>
    <w:p w14:paraId="79B14225" w14:textId="77777777" w:rsidR="005A6F19" w:rsidRPr="00AD20CD" w:rsidRDefault="00BD2F19" w:rsidP="00BD2F19">
      <w:pPr>
        <w:tabs>
          <w:tab w:val="left" w:pos="6833"/>
        </w:tabs>
        <w:spacing w:after="0" w:line="240" w:lineRule="auto"/>
        <w:jc w:val="both"/>
        <w:rPr>
          <w:rFonts w:eastAsia="Calibri" w:cstheme="minorHAnsi"/>
        </w:rPr>
      </w:pPr>
      <w:r w:rsidRPr="00AD20CD">
        <w:rPr>
          <w:rFonts w:eastAsia="Calibri" w:cstheme="minorHAnsi"/>
        </w:rPr>
        <w:tab/>
      </w:r>
    </w:p>
    <w:p w14:paraId="17AE42BD" w14:textId="77777777" w:rsidR="0003187E" w:rsidRPr="00AD20CD" w:rsidRDefault="0003187E" w:rsidP="005A6F19">
      <w:pPr>
        <w:tabs>
          <w:tab w:val="left" w:pos="5541"/>
        </w:tabs>
        <w:spacing w:after="0" w:line="240" w:lineRule="auto"/>
        <w:jc w:val="both"/>
        <w:rPr>
          <w:rFonts w:eastAsia="Calibri" w:cstheme="minorHAnsi"/>
          <w:i/>
        </w:rPr>
      </w:pPr>
    </w:p>
    <w:p w14:paraId="54F743BC" w14:textId="1071F6FD" w:rsidR="005671A3" w:rsidRDefault="005671A3" w:rsidP="000905AF">
      <w:pPr>
        <w:tabs>
          <w:tab w:val="left" w:pos="5541"/>
          <w:tab w:val="left" w:pos="5664"/>
          <w:tab w:val="left" w:pos="6856"/>
        </w:tabs>
        <w:spacing w:line="240" w:lineRule="auto"/>
        <w:jc w:val="both"/>
        <w:rPr>
          <w:rFonts w:cstheme="minorHAnsi"/>
          <w:color w:val="262626" w:themeColor="text1" w:themeTint="D9"/>
        </w:rPr>
      </w:pPr>
    </w:p>
    <w:p w14:paraId="7F1CFD2E" w14:textId="1629D389" w:rsidR="0063085C" w:rsidRDefault="0063085C" w:rsidP="000905AF">
      <w:pPr>
        <w:tabs>
          <w:tab w:val="left" w:pos="5541"/>
          <w:tab w:val="left" w:pos="5664"/>
          <w:tab w:val="left" w:pos="6856"/>
        </w:tabs>
        <w:spacing w:line="240" w:lineRule="auto"/>
        <w:jc w:val="both"/>
        <w:rPr>
          <w:rFonts w:cstheme="minorHAnsi"/>
          <w:color w:val="262626" w:themeColor="text1" w:themeTint="D9"/>
        </w:rPr>
      </w:pPr>
    </w:p>
    <w:p w14:paraId="5DA4F221" w14:textId="1BE9C125" w:rsidR="0063085C" w:rsidRDefault="0063085C" w:rsidP="000905AF">
      <w:pPr>
        <w:tabs>
          <w:tab w:val="left" w:pos="5541"/>
          <w:tab w:val="left" w:pos="5664"/>
          <w:tab w:val="left" w:pos="6856"/>
        </w:tabs>
        <w:spacing w:line="240" w:lineRule="auto"/>
        <w:jc w:val="both"/>
        <w:rPr>
          <w:rFonts w:cstheme="minorHAnsi"/>
          <w:color w:val="262626" w:themeColor="text1" w:themeTint="D9"/>
        </w:rPr>
      </w:pPr>
    </w:p>
    <w:p w14:paraId="1CF398FB" w14:textId="57A2C00B" w:rsidR="0063085C" w:rsidRDefault="0063085C" w:rsidP="000905AF">
      <w:pPr>
        <w:tabs>
          <w:tab w:val="left" w:pos="5541"/>
          <w:tab w:val="left" w:pos="5664"/>
          <w:tab w:val="left" w:pos="6856"/>
        </w:tabs>
        <w:spacing w:line="240" w:lineRule="auto"/>
        <w:jc w:val="both"/>
        <w:rPr>
          <w:rFonts w:cstheme="minorHAnsi"/>
          <w:color w:val="262626" w:themeColor="text1" w:themeTint="D9"/>
        </w:rPr>
      </w:pPr>
    </w:p>
    <w:p w14:paraId="13431199" w14:textId="3597E82E" w:rsidR="00D531DC" w:rsidRPr="00AD20CD" w:rsidRDefault="00D531DC" w:rsidP="000905AF">
      <w:pPr>
        <w:tabs>
          <w:tab w:val="left" w:pos="5541"/>
          <w:tab w:val="left" w:pos="5664"/>
          <w:tab w:val="left" w:pos="6856"/>
        </w:tabs>
        <w:spacing w:line="240" w:lineRule="auto"/>
        <w:jc w:val="both"/>
        <w:rPr>
          <w:rFonts w:cstheme="minorHAnsi"/>
          <w:color w:val="262626" w:themeColor="text1" w:themeTint="D9"/>
        </w:rPr>
      </w:pPr>
      <w:r w:rsidRPr="00AD20CD">
        <w:rPr>
          <w:rFonts w:eastAsia="MS Mincho" w:cstheme="minorHAnsi"/>
          <w:b/>
          <w:i/>
          <w:noProof/>
          <w:color w:val="595959"/>
          <w:lang w:eastAsia="it-IT"/>
        </w:rPr>
        <w:drawing>
          <wp:inline distT="0" distB="0" distL="0" distR="0" wp14:anchorId="4BCAE908" wp14:editId="425AA2D6">
            <wp:extent cx="323027" cy="323027"/>
            <wp:effectExtent l="38100" t="38100" r="33020" b="33020"/>
            <wp:docPr id="6" name="Immagine 6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IEL_icons_www pos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711" cy="334711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</wp:inline>
        </w:drawing>
      </w:r>
      <w:r w:rsidRPr="00AD20CD">
        <w:rPr>
          <w:rFonts w:eastAsia="MS Mincho" w:cstheme="minorHAnsi"/>
          <w:b/>
          <w:i/>
          <w:noProof/>
          <w:color w:val="595959"/>
          <w:lang w:eastAsia="it-IT"/>
        </w:rPr>
        <w:drawing>
          <wp:inline distT="0" distB="0" distL="0" distR="0" wp14:anchorId="2A25B7CC" wp14:editId="0408CE9A">
            <wp:extent cx="252985" cy="252985"/>
            <wp:effectExtent l="57150" t="57150" r="52070" b="52070"/>
            <wp:docPr id="1" name="Immagine 1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IEL_icons_blog pos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85" cy="252985"/>
                    </a:xfrm>
                    <a:prstGeom prst="rect">
                      <a:avLst/>
                    </a:prstGeom>
                    <a:effectLst>
                      <a:softEdge rad="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</wp:inline>
        </w:drawing>
      </w:r>
      <w:r w:rsidRPr="00AD20CD">
        <w:rPr>
          <w:rFonts w:eastAsia="MS Mincho" w:cstheme="minorHAnsi"/>
          <w:b/>
          <w:i/>
          <w:noProof/>
          <w:color w:val="595959"/>
          <w:lang w:eastAsia="it-IT"/>
        </w:rPr>
        <w:drawing>
          <wp:inline distT="0" distB="0" distL="0" distR="0" wp14:anchorId="60EA93FA" wp14:editId="223BDA34">
            <wp:extent cx="252985" cy="252985"/>
            <wp:effectExtent l="57150" t="57150" r="52070" b="52070"/>
            <wp:docPr id="4" name="Immagine 4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IEL_icons_fb pos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85" cy="252985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</wp:inline>
        </w:drawing>
      </w:r>
      <w:r w:rsidRPr="00AD20CD">
        <w:rPr>
          <w:rFonts w:eastAsia="MS Mincho" w:cstheme="minorHAnsi"/>
          <w:b/>
          <w:i/>
          <w:noProof/>
          <w:color w:val="595959"/>
          <w:lang w:eastAsia="it-IT"/>
        </w:rPr>
        <w:drawing>
          <wp:inline distT="0" distB="0" distL="0" distR="0" wp14:anchorId="658B4786" wp14:editId="2B43D385">
            <wp:extent cx="252985" cy="252985"/>
            <wp:effectExtent l="57150" t="57150" r="52070" b="52070"/>
            <wp:docPr id="7" name="Immagine 7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IEL_icons_yt pos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85" cy="252985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</wp:inline>
        </w:drawing>
      </w:r>
      <w:r w:rsidR="005B323B" w:rsidRPr="00AD20CD">
        <w:rPr>
          <w:rFonts w:cstheme="minorHAnsi"/>
          <w:color w:val="262626" w:themeColor="text1" w:themeTint="D9"/>
        </w:rPr>
        <w:tab/>
      </w:r>
      <w:r w:rsidRPr="00AD20CD">
        <w:rPr>
          <w:rFonts w:cstheme="minorHAnsi"/>
          <w:b/>
        </w:rPr>
        <w:tab/>
      </w:r>
      <w:r w:rsidR="000905AF" w:rsidRPr="00AD20CD">
        <w:rPr>
          <w:rFonts w:cstheme="minorHAnsi"/>
          <w:b/>
        </w:rPr>
        <w:tab/>
      </w:r>
    </w:p>
    <w:p w14:paraId="0F06D242" w14:textId="77777777" w:rsidR="008B3823" w:rsidRPr="00AD20CD" w:rsidRDefault="008B3823" w:rsidP="00F771B5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b/>
          <w:i/>
          <w:color w:val="006600"/>
        </w:rPr>
      </w:pPr>
      <w:r w:rsidRPr="00AD20CD">
        <w:rPr>
          <w:rFonts w:cstheme="minorHAnsi"/>
          <w:b/>
          <w:i/>
          <w:color w:val="006600"/>
        </w:rPr>
        <w:t xml:space="preserve">AIEL Associazione Italiana Energie Agroforestali è l'associazione delle imprese della filiera legno-energia che da 20 anni si occupa di promuovere la corretta e sostenibile valorizzazione energetica delle biomasse agroforestali, in particolare i biocombustibili legnosi (www.aielenergia.it). L’associazione rappresenta circa 500 imprese della filiera, tra cui circa il 70% delle aziende italiane ed europee di costruzione di apparecchi domestici e caldaie (circa 700 M€ di fatturato) e, sul fronte dei biocombustibili, circa 150 produttori di legna e cippato e 90 imprese italiane di produzione e distribuzione di pellet. AIEL ha fondato e gestisce in Italia tre sistemi di certificazione: ENplus® (pellet), </w:t>
      </w:r>
      <w:proofErr w:type="spellStart"/>
      <w:r w:rsidRPr="00AD20CD">
        <w:rPr>
          <w:rFonts w:cstheme="minorHAnsi"/>
          <w:b/>
          <w:i/>
          <w:color w:val="006600"/>
        </w:rPr>
        <w:t>Biomassplus</w:t>
      </w:r>
      <w:proofErr w:type="spellEnd"/>
      <w:r w:rsidRPr="00AD20CD">
        <w:rPr>
          <w:rFonts w:cstheme="minorHAnsi"/>
          <w:b/>
          <w:i/>
          <w:color w:val="006600"/>
        </w:rPr>
        <w:t xml:space="preserve">® (legna, cippato e bricchette) e </w:t>
      </w:r>
      <w:proofErr w:type="spellStart"/>
      <w:r w:rsidRPr="00AD20CD">
        <w:rPr>
          <w:rFonts w:cstheme="minorHAnsi"/>
          <w:b/>
          <w:i/>
          <w:color w:val="006600"/>
        </w:rPr>
        <w:t>ariaPulita</w:t>
      </w:r>
      <w:proofErr w:type="spellEnd"/>
      <w:r w:rsidRPr="00AD20CD">
        <w:rPr>
          <w:rFonts w:cstheme="minorHAnsi"/>
          <w:b/>
          <w:i/>
          <w:color w:val="006600"/>
        </w:rPr>
        <w:t>® (stufe, inserti, caldaie domestiche a legna e pellet).</w:t>
      </w:r>
    </w:p>
    <w:p w14:paraId="13BCDFE2" w14:textId="77777777" w:rsidR="00F771B5" w:rsidRPr="00AD20CD" w:rsidRDefault="00F771B5" w:rsidP="00F771B5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b/>
          <w:i/>
          <w:color w:val="006600"/>
        </w:rPr>
      </w:pPr>
    </w:p>
    <w:p w14:paraId="4FE59387" w14:textId="77777777" w:rsidR="008B3823" w:rsidRPr="00AD20CD" w:rsidRDefault="008B3823" w:rsidP="00F771B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theme="minorHAnsi"/>
        </w:rPr>
      </w:pPr>
      <w:proofErr w:type="spellStart"/>
      <w:r w:rsidRPr="00AD20CD">
        <w:rPr>
          <w:rFonts w:cstheme="minorHAnsi"/>
          <w:b/>
          <w:i/>
          <w:color w:val="006600"/>
        </w:rPr>
        <w:t>Contact</w:t>
      </w:r>
      <w:proofErr w:type="spellEnd"/>
      <w:r w:rsidRPr="00AD20CD">
        <w:rPr>
          <w:rFonts w:cstheme="minorHAnsi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03"/>
        <w:gridCol w:w="4825"/>
      </w:tblGrid>
      <w:tr w:rsidR="008B3823" w:rsidRPr="00AD20CD" w14:paraId="14410299" w14:textId="77777777" w:rsidTr="009C5470">
        <w:tc>
          <w:tcPr>
            <w:tcW w:w="48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598540" w14:textId="77777777" w:rsidR="008B3823" w:rsidRPr="00AD20CD" w:rsidRDefault="008B3823" w:rsidP="00F771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  <w:color w:val="006600"/>
              </w:rPr>
            </w:pPr>
          </w:p>
          <w:p w14:paraId="4659AE9C" w14:textId="77777777" w:rsidR="008B3823" w:rsidRPr="00AD20CD" w:rsidRDefault="008B3823" w:rsidP="00F771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  <w:color w:val="006600"/>
              </w:rPr>
            </w:pPr>
            <w:r w:rsidRPr="00AD20CD">
              <w:rPr>
                <w:rFonts w:cstheme="minorHAnsi"/>
                <w:b/>
                <w:i/>
                <w:color w:val="006600"/>
              </w:rPr>
              <w:t>Responsabile comunicazione AIEL</w:t>
            </w:r>
          </w:p>
          <w:p w14:paraId="798C5FA6" w14:textId="77777777" w:rsidR="008B3823" w:rsidRPr="00AD20CD" w:rsidRDefault="008B3823" w:rsidP="00F771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  <w:color w:val="006600"/>
              </w:rPr>
            </w:pPr>
            <w:r w:rsidRPr="00AD20CD">
              <w:rPr>
                <w:rFonts w:cstheme="minorHAnsi"/>
                <w:b/>
                <w:i/>
                <w:color w:val="006600"/>
              </w:rPr>
              <w:t xml:space="preserve">Francesca </w:t>
            </w:r>
            <w:proofErr w:type="spellStart"/>
            <w:r w:rsidRPr="00AD20CD">
              <w:rPr>
                <w:rFonts w:cstheme="minorHAnsi"/>
                <w:b/>
                <w:i/>
                <w:color w:val="006600"/>
              </w:rPr>
              <w:t>Maito</w:t>
            </w:r>
            <w:proofErr w:type="spellEnd"/>
            <w:r w:rsidRPr="00AD20CD">
              <w:rPr>
                <w:rFonts w:cstheme="minorHAnsi"/>
                <w:b/>
                <w:i/>
                <w:color w:val="006600"/>
              </w:rPr>
              <w:t xml:space="preserve"> </w:t>
            </w:r>
          </w:p>
          <w:p w14:paraId="193E605D" w14:textId="77777777" w:rsidR="008B3823" w:rsidRPr="00AD20CD" w:rsidRDefault="008B3823" w:rsidP="00F771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  <w:color w:val="006600"/>
              </w:rPr>
            </w:pPr>
            <w:r w:rsidRPr="00AD20CD">
              <w:rPr>
                <w:rFonts w:cstheme="minorHAnsi"/>
                <w:b/>
                <w:i/>
                <w:color w:val="006600"/>
              </w:rPr>
              <w:t>maito.aiel@cia.it</w:t>
            </w:r>
          </w:p>
          <w:p w14:paraId="09038969" w14:textId="77777777" w:rsidR="008B3823" w:rsidRPr="00AD20CD" w:rsidRDefault="008B3823" w:rsidP="00F771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  <w:color w:val="006600"/>
              </w:rPr>
            </w:pPr>
            <w:r w:rsidRPr="00AD20CD">
              <w:rPr>
                <w:rFonts w:cstheme="minorHAnsi"/>
                <w:b/>
                <w:i/>
                <w:color w:val="006600"/>
              </w:rPr>
              <w:t xml:space="preserve">Viale dell'Università 14 - 35020 Legnaro (PD) </w:t>
            </w:r>
          </w:p>
          <w:p w14:paraId="67BB2868" w14:textId="77777777" w:rsidR="008B3823" w:rsidRPr="00AD20CD" w:rsidRDefault="008B3823" w:rsidP="00F771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AD20CD">
              <w:rPr>
                <w:rFonts w:cstheme="minorHAnsi"/>
                <w:b/>
                <w:i/>
                <w:color w:val="006600"/>
              </w:rPr>
              <w:t>Tel. +39 049 8830722</w:t>
            </w:r>
          </w:p>
        </w:tc>
        <w:tc>
          <w:tcPr>
            <w:tcW w:w="48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09FE84" w14:textId="77777777" w:rsidR="008B3823" w:rsidRPr="00AD20CD" w:rsidRDefault="008B3823" w:rsidP="00F771B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right"/>
              <w:rPr>
                <w:rFonts w:cstheme="minorHAnsi"/>
                <w:b/>
                <w:i/>
                <w:color w:val="006600"/>
              </w:rPr>
            </w:pPr>
          </w:p>
          <w:p w14:paraId="2475D48A" w14:textId="77777777" w:rsidR="008B3823" w:rsidRPr="00AD20CD" w:rsidRDefault="008B3823" w:rsidP="00F771B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right"/>
              <w:rPr>
                <w:rFonts w:cstheme="minorHAnsi"/>
                <w:b/>
                <w:i/>
                <w:color w:val="006600"/>
              </w:rPr>
            </w:pPr>
            <w:r w:rsidRPr="00AD20CD">
              <w:rPr>
                <w:rFonts w:cstheme="minorHAnsi"/>
                <w:b/>
                <w:i/>
                <w:color w:val="006600"/>
              </w:rPr>
              <w:t>Ufficio stampa AIEL</w:t>
            </w:r>
          </w:p>
          <w:p w14:paraId="576769A7" w14:textId="77777777" w:rsidR="008B3823" w:rsidRPr="00AD20CD" w:rsidRDefault="008B3823" w:rsidP="00F771B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right"/>
              <w:rPr>
                <w:rFonts w:cstheme="minorHAnsi"/>
                <w:b/>
                <w:i/>
                <w:color w:val="006600"/>
              </w:rPr>
            </w:pPr>
            <w:r w:rsidRPr="00AD20CD">
              <w:rPr>
                <w:rFonts w:cstheme="minorHAnsi"/>
                <w:b/>
                <w:i/>
                <w:color w:val="006600"/>
              </w:rPr>
              <w:t>Raffaela Saccardi</w:t>
            </w:r>
          </w:p>
          <w:p w14:paraId="354D1C5C" w14:textId="77777777" w:rsidR="008B3823" w:rsidRPr="00AD20CD" w:rsidRDefault="008B3823" w:rsidP="00F771B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right"/>
              <w:rPr>
                <w:rFonts w:cstheme="minorHAnsi"/>
                <w:b/>
                <w:i/>
                <w:color w:val="006600"/>
              </w:rPr>
            </w:pPr>
            <w:r w:rsidRPr="00AD20CD">
              <w:rPr>
                <w:rFonts w:cstheme="minorHAnsi"/>
                <w:b/>
                <w:i/>
                <w:color w:val="006600"/>
              </w:rPr>
              <w:t>comunicazione.aiel@cia.it</w:t>
            </w:r>
          </w:p>
          <w:p w14:paraId="6A45D674" w14:textId="77777777" w:rsidR="008B3823" w:rsidRPr="00AD20CD" w:rsidRDefault="008B3823" w:rsidP="00F771B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theme="minorHAnsi"/>
                <w:b/>
                <w:i/>
                <w:color w:val="006600"/>
              </w:rPr>
            </w:pPr>
            <w:r w:rsidRPr="00AD20CD">
              <w:rPr>
                <w:rFonts w:cstheme="minorHAnsi"/>
                <w:b/>
                <w:i/>
                <w:color w:val="006600"/>
              </w:rPr>
              <w:t>Mob. 370 3090 789</w:t>
            </w:r>
          </w:p>
        </w:tc>
      </w:tr>
    </w:tbl>
    <w:p w14:paraId="1D0D74FC" w14:textId="77777777" w:rsidR="00D70F66" w:rsidRPr="00AD20CD" w:rsidRDefault="00D70F66" w:rsidP="008B38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color w:val="006600"/>
        </w:rPr>
      </w:pPr>
    </w:p>
    <w:sectPr w:rsidR="00D70F66" w:rsidRPr="00AD20CD" w:rsidSect="00AE24D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04A57" w14:textId="77777777" w:rsidR="00441B57" w:rsidRDefault="00441B57" w:rsidP="00242B1C">
      <w:pPr>
        <w:spacing w:after="0" w:line="240" w:lineRule="auto"/>
      </w:pPr>
      <w:r>
        <w:separator/>
      </w:r>
    </w:p>
  </w:endnote>
  <w:endnote w:type="continuationSeparator" w:id="0">
    <w:p w14:paraId="46626A86" w14:textId="77777777" w:rsidR="00441B57" w:rsidRDefault="00441B57" w:rsidP="00242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0B386" w14:textId="77777777" w:rsidR="009D7566" w:rsidRDefault="00AE24DB" w:rsidP="009C5470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D756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8F3D226" w14:textId="77777777" w:rsidR="009D7566" w:rsidRDefault="009D7566" w:rsidP="009D756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B470E" w14:textId="77777777" w:rsidR="009D7566" w:rsidRDefault="00AE24DB" w:rsidP="009C5470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D756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236D1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EB1CF3C" w14:textId="77777777" w:rsidR="009D7566" w:rsidRDefault="009D7566" w:rsidP="009D7566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D0E6C" w14:textId="77777777" w:rsidR="00761983" w:rsidRDefault="007619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AACEC" w14:textId="77777777" w:rsidR="00441B57" w:rsidRDefault="00441B57" w:rsidP="00242B1C">
      <w:pPr>
        <w:spacing w:after="0" w:line="240" w:lineRule="auto"/>
      </w:pPr>
      <w:r>
        <w:separator/>
      </w:r>
    </w:p>
  </w:footnote>
  <w:footnote w:type="continuationSeparator" w:id="0">
    <w:p w14:paraId="60B965B5" w14:textId="77777777" w:rsidR="00441B57" w:rsidRDefault="00441B57" w:rsidP="00242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DB360" w14:textId="77777777" w:rsidR="00F57ECC" w:rsidRDefault="00F57EC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5210E" w14:textId="77777777" w:rsidR="00242B1C" w:rsidRPr="00242B1C" w:rsidRDefault="00BF142F" w:rsidP="00242B1C">
    <w:pPr>
      <w:pStyle w:val="Intestazione"/>
      <w:jc w:val="right"/>
      <w:rPr>
        <w:rFonts w:ascii="Cambria" w:hAnsi="Cambria"/>
      </w:rPr>
    </w:pPr>
    <w:r>
      <w:rPr>
        <w:rFonts w:asciiTheme="majorHAnsi" w:eastAsia="Calibri" w:hAnsiTheme="majorHAnsi" w:cs="Times New Roman"/>
        <w:noProof/>
        <w:sz w:val="24"/>
        <w:szCs w:val="24"/>
        <w:lang w:eastAsia="it-IT"/>
      </w:rPr>
      <w:drawing>
        <wp:anchor distT="0" distB="0" distL="114300" distR="114300" simplePos="0" relativeHeight="251664384" behindDoc="0" locked="0" layoutInCell="1" allowOverlap="1" wp14:anchorId="7367ABAD" wp14:editId="598B8FB4">
          <wp:simplePos x="0" y="0"/>
          <wp:positionH relativeFrom="margin">
            <wp:posOffset>16510</wp:posOffset>
          </wp:positionH>
          <wp:positionV relativeFrom="paragraph">
            <wp:posOffset>-217170</wp:posOffset>
          </wp:positionV>
          <wp:extent cx="941070" cy="493395"/>
          <wp:effectExtent l="0" t="0" r="0" b="1905"/>
          <wp:wrapSquare wrapText="bothSides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IELlogo2013de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070" cy="49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731B3" w14:textId="77777777" w:rsidR="00F57ECC" w:rsidRDefault="00F57E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956F7F"/>
    <w:multiLevelType w:val="hybridMultilevel"/>
    <w:tmpl w:val="038EBF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617A7"/>
    <w:multiLevelType w:val="hybridMultilevel"/>
    <w:tmpl w:val="ED4AD0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A26FA"/>
    <w:multiLevelType w:val="hybridMultilevel"/>
    <w:tmpl w:val="99CA5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B0FF0"/>
    <w:multiLevelType w:val="hybridMultilevel"/>
    <w:tmpl w:val="AF803E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D7C6F"/>
    <w:multiLevelType w:val="hybridMultilevel"/>
    <w:tmpl w:val="F18882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06115"/>
    <w:multiLevelType w:val="hybridMultilevel"/>
    <w:tmpl w:val="73EA4B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BB8"/>
    <w:rsid w:val="0001390C"/>
    <w:rsid w:val="00015622"/>
    <w:rsid w:val="0001798C"/>
    <w:rsid w:val="00020AAD"/>
    <w:rsid w:val="000236D1"/>
    <w:rsid w:val="00025FC8"/>
    <w:rsid w:val="000275D3"/>
    <w:rsid w:val="0003187E"/>
    <w:rsid w:val="000341A7"/>
    <w:rsid w:val="00036C9D"/>
    <w:rsid w:val="00037C62"/>
    <w:rsid w:val="00041A7B"/>
    <w:rsid w:val="00043A0A"/>
    <w:rsid w:val="000449FE"/>
    <w:rsid w:val="00045D29"/>
    <w:rsid w:val="00050AD0"/>
    <w:rsid w:val="00055958"/>
    <w:rsid w:val="00065C80"/>
    <w:rsid w:val="00077D29"/>
    <w:rsid w:val="00080203"/>
    <w:rsid w:val="00080695"/>
    <w:rsid w:val="00082FBF"/>
    <w:rsid w:val="00085703"/>
    <w:rsid w:val="000861B6"/>
    <w:rsid w:val="000905AF"/>
    <w:rsid w:val="00091EFD"/>
    <w:rsid w:val="00092FF8"/>
    <w:rsid w:val="000979A9"/>
    <w:rsid w:val="000A2026"/>
    <w:rsid w:val="000A370A"/>
    <w:rsid w:val="000A481E"/>
    <w:rsid w:val="000A5AB2"/>
    <w:rsid w:val="000A5D46"/>
    <w:rsid w:val="000A7B44"/>
    <w:rsid w:val="000B1531"/>
    <w:rsid w:val="000B53B6"/>
    <w:rsid w:val="000C4A67"/>
    <w:rsid w:val="000C5C12"/>
    <w:rsid w:val="000D19A3"/>
    <w:rsid w:val="000D3D83"/>
    <w:rsid w:val="000D60FB"/>
    <w:rsid w:val="000E0691"/>
    <w:rsid w:val="000E5CF8"/>
    <w:rsid w:val="000E6357"/>
    <w:rsid w:val="000F2B8A"/>
    <w:rsid w:val="000F2EE8"/>
    <w:rsid w:val="000F4723"/>
    <w:rsid w:val="00101EE5"/>
    <w:rsid w:val="00102EDD"/>
    <w:rsid w:val="00103B18"/>
    <w:rsid w:val="00113171"/>
    <w:rsid w:val="001169B8"/>
    <w:rsid w:val="00117923"/>
    <w:rsid w:val="001238BA"/>
    <w:rsid w:val="00124804"/>
    <w:rsid w:val="0012768B"/>
    <w:rsid w:val="00130183"/>
    <w:rsid w:val="001309B8"/>
    <w:rsid w:val="00134FD0"/>
    <w:rsid w:val="00146865"/>
    <w:rsid w:val="00161CCC"/>
    <w:rsid w:val="00165965"/>
    <w:rsid w:val="0018334F"/>
    <w:rsid w:val="001851B6"/>
    <w:rsid w:val="00192884"/>
    <w:rsid w:val="00195C71"/>
    <w:rsid w:val="001A07C0"/>
    <w:rsid w:val="001A1E63"/>
    <w:rsid w:val="001A65AE"/>
    <w:rsid w:val="001C1014"/>
    <w:rsid w:val="001C1890"/>
    <w:rsid w:val="001C4AC1"/>
    <w:rsid w:val="001C5014"/>
    <w:rsid w:val="001C5677"/>
    <w:rsid w:val="001C6E9D"/>
    <w:rsid w:val="001C71D8"/>
    <w:rsid w:val="001E1027"/>
    <w:rsid w:val="001F2DD1"/>
    <w:rsid w:val="001F5BD3"/>
    <w:rsid w:val="0021120B"/>
    <w:rsid w:val="00221FF6"/>
    <w:rsid w:val="002256B3"/>
    <w:rsid w:val="00226DF3"/>
    <w:rsid w:val="00226F53"/>
    <w:rsid w:val="002323AF"/>
    <w:rsid w:val="00233905"/>
    <w:rsid w:val="002429A3"/>
    <w:rsid w:val="00242B1C"/>
    <w:rsid w:val="00243E96"/>
    <w:rsid w:val="00244F14"/>
    <w:rsid w:val="00261C4F"/>
    <w:rsid w:val="00265428"/>
    <w:rsid w:val="00266792"/>
    <w:rsid w:val="00273DE3"/>
    <w:rsid w:val="00275DB1"/>
    <w:rsid w:val="00276325"/>
    <w:rsid w:val="00282A2F"/>
    <w:rsid w:val="002859F5"/>
    <w:rsid w:val="00285A27"/>
    <w:rsid w:val="00297D2D"/>
    <w:rsid w:val="002A0F8D"/>
    <w:rsid w:val="002A2A55"/>
    <w:rsid w:val="002B2A16"/>
    <w:rsid w:val="002B2AE6"/>
    <w:rsid w:val="002B2B41"/>
    <w:rsid w:val="002B2BA3"/>
    <w:rsid w:val="002B37BC"/>
    <w:rsid w:val="002B76C0"/>
    <w:rsid w:val="002C0459"/>
    <w:rsid w:val="002C1752"/>
    <w:rsid w:val="002C214E"/>
    <w:rsid w:val="002C259C"/>
    <w:rsid w:val="002C34F5"/>
    <w:rsid w:val="002C70BF"/>
    <w:rsid w:val="002D4625"/>
    <w:rsid w:val="002D7884"/>
    <w:rsid w:val="002E049D"/>
    <w:rsid w:val="002E07C5"/>
    <w:rsid w:val="002F5D40"/>
    <w:rsid w:val="002F66ED"/>
    <w:rsid w:val="002F6B47"/>
    <w:rsid w:val="00306C17"/>
    <w:rsid w:val="00310121"/>
    <w:rsid w:val="0031514E"/>
    <w:rsid w:val="00317FCE"/>
    <w:rsid w:val="003215EA"/>
    <w:rsid w:val="00323609"/>
    <w:rsid w:val="003245B9"/>
    <w:rsid w:val="00324A1F"/>
    <w:rsid w:val="00325B7A"/>
    <w:rsid w:val="00327043"/>
    <w:rsid w:val="00331F46"/>
    <w:rsid w:val="00336AE6"/>
    <w:rsid w:val="0034405D"/>
    <w:rsid w:val="00353EE6"/>
    <w:rsid w:val="003568FE"/>
    <w:rsid w:val="003645F5"/>
    <w:rsid w:val="00365075"/>
    <w:rsid w:val="0037102B"/>
    <w:rsid w:val="003718C6"/>
    <w:rsid w:val="00371DB0"/>
    <w:rsid w:val="00372FF0"/>
    <w:rsid w:val="00376747"/>
    <w:rsid w:val="00380080"/>
    <w:rsid w:val="003824CD"/>
    <w:rsid w:val="00382BD6"/>
    <w:rsid w:val="00385B86"/>
    <w:rsid w:val="00391921"/>
    <w:rsid w:val="003A1885"/>
    <w:rsid w:val="003A4D00"/>
    <w:rsid w:val="003A6BB8"/>
    <w:rsid w:val="003A7C45"/>
    <w:rsid w:val="003B2571"/>
    <w:rsid w:val="003B25E0"/>
    <w:rsid w:val="003B3071"/>
    <w:rsid w:val="003B45E1"/>
    <w:rsid w:val="003B6359"/>
    <w:rsid w:val="003B68A9"/>
    <w:rsid w:val="003C0406"/>
    <w:rsid w:val="003C17D4"/>
    <w:rsid w:val="003D0470"/>
    <w:rsid w:val="003D1C76"/>
    <w:rsid w:val="003E43A9"/>
    <w:rsid w:val="003E58B8"/>
    <w:rsid w:val="003F10E8"/>
    <w:rsid w:val="004041F9"/>
    <w:rsid w:val="00404230"/>
    <w:rsid w:val="00410736"/>
    <w:rsid w:val="00414291"/>
    <w:rsid w:val="00414B42"/>
    <w:rsid w:val="004202EE"/>
    <w:rsid w:val="0042586E"/>
    <w:rsid w:val="00427DCE"/>
    <w:rsid w:val="00431EE6"/>
    <w:rsid w:val="0043457D"/>
    <w:rsid w:val="00441B57"/>
    <w:rsid w:val="004456C9"/>
    <w:rsid w:val="00450FA8"/>
    <w:rsid w:val="004609CC"/>
    <w:rsid w:val="004717A0"/>
    <w:rsid w:val="00474BBF"/>
    <w:rsid w:val="004842F6"/>
    <w:rsid w:val="00487A80"/>
    <w:rsid w:val="004B218E"/>
    <w:rsid w:val="004B5A74"/>
    <w:rsid w:val="004B73CF"/>
    <w:rsid w:val="004C0C3D"/>
    <w:rsid w:val="004C2A4E"/>
    <w:rsid w:val="004D6368"/>
    <w:rsid w:val="004E1820"/>
    <w:rsid w:val="004E2D66"/>
    <w:rsid w:val="004F0B35"/>
    <w:rsid w:val="004F4D75"/>
    <w:rsid w:val="00501E8B"/>
    <w:rsid w:val="00507FC1"/>
    <w:rsid w:val="00521D87"/>
    <w:rsid w:val="005321B3"/>
    <w:rsid w:val="005334EB"/>
    <w:rsid w:val="005360DA"/>
    <w:rsid w:val="00540FD4"/>
    <w:rsid w:val="00541C6C"/>
    <w:rsid w:val="00542616"/>
    <w:rsid w:val="005506C5"/>
    <w:rsid w:val="00550924"/>
    <w:rsid w:val="00555323"/>
    <w:rsid w:val="00561546"/>
    <w:rsid w:val="005671A3"/>
    <w:rsid w:val="005731C3"/>
    <w:rsid w:val="00573E1F"/>
    <w:rsid w:val="00575A7D"/>
    <w:rsid w:val="00576041"/>
    <w:rsid w:val="005815DF"/>
    <w:rsid w:val="00583AA9"/>
    <w:rsid w:val="005849DA"/>
    <w:rsid w:val="00590F99"/>
    <w:rsid w:val="005926B9"/>
    <w:rsid w:val="00592B98"/>
    <w:rsid w:val="0059535E"/>
    <w:rsid w:val="005A0680"/>
    <w:rsid w:val="005A154B"/>
    <w:rsid w:val="005A6134"/>
    <w:rsid w:val="005A6F19"/>
    <w:rsid w:val="005A7CBD"/>
    <w:rsid w:val="005B0DEE"/>
    <w:rsid w:val="005B160E"/>
    <w:rsid w:val="005B17E4"/>
    <w:rsid w:val="005B1E99"/>
    <w:rsid w:val="005B323B"/>
    <w:rsid w:val="005C1DEB"/>
    <w:rsid w:val="005C7A88"/>
    <w:rsid w:val="005D04FA"/>
    <w:rsid w:val="005D0BAB"/>
    <w:rsid w:val="005D3EA8"/>
    <w:rsid w:val="005E539D"/>
    <w:rsid w:val="005E5AF6"/>
    <w:rsid w:val="005F5EB9"/>
    <w:rsid w:val="005F6E2B"/>
    <w:rsid w:val="006000DB"/>
    <w:rsid w:val="00603280"/>
    <w:rsid w:val="00610B16"/>
    <w:rsid w:val="006131CD"/>
    <w:rsid w:val="006256B6"/>
    <w:rsid w:val="00627454"/>
    <w:rsid w:val="006277F6"/>
    <w:rsid w:val="0063085C"/>
    <w:rsid w:val="00631CB0"/>
    <w:rsid w:val="006328CF"/>
    <w:rsid w:val="006341EB"/>
    <w:rsid w:val="00634AD4"/>
    <w:rsid w:val="00640302"/>
    <w:rsid w:val="00640E31"/>
    <w:rsid w:val="00644968"/>
    <w:rsid w:val="00644AE2"/>
    <w:rsid w:val="00651B25"/>
    <w:rsid w:val="0065541B"/>
    <w:rsid w:val="00660FCC"/>
    <w:rsid w:val="00664B20"/>
    <w:rsid w:val="006737DB"/>
    <w:rsid w:val="006743AE"/>
    <w:rsid w:val="00680094"/>
    <w:rsid w:val="006901F2"/>
    <w:rsid w:val="00690588"/>
    <w:rsid w:val="006925C7"/>
    <w:rsid w:val="00694730"/>
    <w:rsid w:val="0069498A"/>
    <w:rsid w:val="00694EC6"/>
    <w:rsid w:val="006B2429"/>
    <w:rsid w:val="006B726A"/>
    <w:rsid w:val="006C5181"/>
    <w:rsid w:val="006E29BF"/>
    <w:rsid w:val="006E3BC8"/>
    <w:rsid w:val="006E490C"/>
    <w:rsid w:val="006E5CA2"/>
    <w:rsid w:val="006E63FF"/>
    <w:rsid w:val="006E68CE"/>
    <w:rsid w:val="006F0C06"/>
    <w:rsid w:val="006F1082"/>
    <w:rsid w:val="00701537"/>
    <w:rsid w:val="00714E63"/>
    <w:rsid w:val="00721473"/>
    <w:rsid w:val="00726F60"/>
    <w:rsid w:val="00736DA8"/>
    <w:rsid w:val="00740FB9"/>
    <w:rsid w:val="007430F1"/>
    <w:rsid w:val="0074487D"/>
    <w:rsid w:val="00745BB5"/>
    <w:rsid w:val="007517D2"/>
    <w:rsid w:val="0075490B"/>
    <w:rsid w:val="00761983"/>
    <w:rsid w:val="00765741"/>
    <w:rsid w:val="00770611"/>
    <w:rsid w:val="00774022"/>
    <w:rsid w:val="0078136A"/>
    <w:rsid w:val="007837CF"/>
    <w:rsid w:val="00786E1A"/>
    <w:rsid w:val="007926D5"/>
    <w:rsid w:val="00792BB6"/>
    <w:rsid w:val="00797DF2"/>
    <w:rsid w:val="007A06D2"/>
    <w:rsid w:val="007A3832"/>
    <w:rsid w:val="007A49B7"/>
    <w:rsid w:val="007B089F"/>
    <w:rsid w:val="007C3F57"/>
    <w:rsid w:val="007D65E8"/>
    <w:rsid w:val="007E2235"/>
    <w:rsid w:val="007E55D9"/>
    <w:rsid w:val="007E706D"/>
    <w:rsid w:val="007E7997"/>
    <w:rsid w:val="007F451D"/>
    <w:rsid w:val="0080012B"/>
    <w:rsid w:val="00802B3C"/>
    <w:rsid w:val="00807CB1"/>
    <w:rsid w:val="0081195F"/>
    <w:rsid w:val="00813CEC"/>
    <w:rsid w:val="00816AD1"/>
    <w:rsid w:val="00824BA3"/>
    <w:rsid w:val="00827EB3"/>
    <w:rsid w:val="00832895"/>
    <w:rsid w:val="008452B6"/>
    <w:rsid w:val="00851147"/>
    <w:rsid w:val="00852437"/>
    <w:rsid w:val="00854EAF"/>
    <w:rsid w:val="0086048C"/>
    <w:rsid w:val="00875EC2"/>
    <w:rsid w:val="00877E63"/>
    <w:rsid w:val="0088233D"/>
    <w:rsid w:val="00886710"/>
    <w:rsid w:val="008963BE"/>
    <w:rsid w:val="008A1512"/>
    <w:rsid w:val="008B029C"/>
    <w:rsid w:val="008B295A"/>
    <w:rsid w:val="008B3823"/>
    <w:rsid w:val="008B7778"/>
    <w:rsid w:val="008B79E1"/>
    <w:rsid w:val="008C7BBD"/>
    <w:rsid w:val="008F1428"/>
    <w:rsid w:val="00900BD3"/>
    <w:rsid w:val="00910CB0"/>
    <w:rsid w:val="00911097"/>
    <w:rsid w:val="0091227E"/>
    <w:rsid w:val="00915764"/>
    <w:rsid w:val="009163D0"/>
    <w:rsid w:val="009305EF"/>
    <w:rsid w:val="0093204B"/>
    <w:rsid w:val="00932607"/>
    <w:rsid w:val="00935DCC"/>
    <w:rsid w:val="009363D2"/>
    <w:rsid w:val="009378EA"/>
    <w:rsid w:val="0094585B"/>
    <w:rsid w:val="00946626"/>
    <w:rsid w:val="00946921"/>
    <w:rsid w:val="009527F8"/>
    <w:rsid w:val="00955A4A"/>
    <w:rsid w:val="009560D9"/>
    <w:rsid w:val="0096074A"/>
    <w:rsid w:val="00960D51"/>
    <w:rsid w:val="00967B29"/>
    <w:rsid w:val="00967CEC"/>
    <w:rsid w:val="00970CBC"/>
    <w:rsid w:val="00970CE8"/>
    <w:rsid w:val="00971F23"/>
    <w:rsid w:val="009845A6"/>
    <w:rsid w:val="00986BD1"/>
    <w:rsid w:val="00994FB6"/>
    <w:rsid w:val="009A5354"/>
    <w:rsid w:val="009A7C7A"/>
    <w:rsid w:val="009B2516"/>
    <w:rsid w:val="009B549C"/>
    <w:rsid w:val="009B573A"/>
    <w:rsid w:val="009B5D87"/>
    <w:rsid w:val="009B6D45"/>
    <w:rsid w:val="009C4153"/>
    <w:rsid w:val="009C5470"/>
    <w:rsid w:val="009C668E"/>
    <w:rsid w:val="009D2517"/>
    <w:rsid w:val="009D427F"/>
    <w:rsid w:val="009D7566"/>
    <w:rsid w:val="009E421F"/>
    <w:rsid w:val="009E5E24"/>
    <w:rsid w:val="009E5F80"/>
    <w:rsid w:val="009F2A18"/>
    <w:rsid w:val="00A0370A"/>
    <w:rsid w:val="00A06454"/>
    <w:rsid w:val="00A079D5"/>
    <w:rsid w:val="00A303F5"/>
    <w:rsid w:val="00A31AB5"/>
    <w:rsid w:val="00A31EF9"/>
    <w:rsid w:val="00A323BB"/>
    <w:rsid w:val="00A33E2B"/>
    <w:rsid w:val="00A37C33"/>
    <w:rsid w:val="00A43916"/>
    <w:rsid w:val="00A52D15"/>
    <w:rsid w:val="00A52D2D"/>
    <w:rsid w:val="00A55E07"/>
    <w:rsid w:val="00A56487"/>
    <w:rsid w:val="00A640D2"/>
    <w:rsid w:val="00A70C32"/>
    <w:rsid w:val="00A73E28"/>
    <w:rsid w:val="00A753EA"/>
    <w:rsid w:val="00A81E79"/>
    <w:rsid w:val="00A870D2"/>
    <w:rsid w:val="00A90580"/>
    <w:rsid w:val="00A91A03"/>
    <w:rsid w:val="00AA23F6"/>
    <w:rsid w:val="00AA4FF4"/>
    <w:rsid w:val="00AA5E2C"/>
    <w:rsid w:val="00AB1579"/>
    <w:rsid w:val="00AB386F"/>
    <w:rsid w:val="00AC4683"/>
    <w:rsid w:val="00AC4CDD"/>
    <w:rsid w:val="00AC4F41"/>
    <w:rsid w:val="00AD20CD"/>
    <w:rsid w:val="00AD2A61"/>
    <w:rsid w:val="00AD77ED"/>
    <w:rsid w:val="00AE24DB"/>
    <w:rsid w:val="00AE2E06"/>
    <w:rsid w:val="00AE3F7C"/>
    <w:rsid w:val="00AF0B3A"/>
    <w:rsid w:val="00B02A63"/>
    <w:rsid w:val="00B10A7B"/>
    <w:rsid w:val="00B12682"/>
    <w:rsid w:val="00B13A6D"/>
    <w:rsid w:val="00B15545"/>
    <w:rsid w:val="00B33346"/>
    <w:rsid w:val="00B35035"/>
    <w:rsid w:val="00B40B9E"/>
    <w:rsid w:val="00B44BA8"/>
    <w:rsid w:val="00B468F3"/>
    <w:rsid w:val="00B50748"/>
    <w:rsid w:val="00B52E26"/>
    <w:rsid w:val="00B55CEE"/>
    <w:rsid w:val="00B56C18"/>
    <w:rsid w:val="00B57A0B"/>
    <w:rsid w:val="00B73985"/>
    <w:rsid w:val="00B75BBE"/>
    <w:rsid w:val="00B911BC"/>
    <w:rsid w:val="00B921AE"/>
    <w:rsid w:val="00B944DD"/>
    <w:rsid w:val="00B961D2"/>
    <w:rsid w:val="00B97E56"/>
    <w:rsid w:val="00BA5585"/>
    <w:rsid w:val="00BA61DA"/>
    <w:rsid w:val="00BB2B10"/>
    <w:rsid w:val="00BB2BD9"/>
    <w:rsid w:val="00BB4E9A"/>
    <w:rsid w:val="00BB776B"/>
    <w:rsid w:val="00BC06AA"/>
    <w:rsid w:val="00BC4299"/>
    <w:rsid w:val="00BC4AD1"/>
    <w:rsid w:val="00BC6BAF"/>
    <w:rsid w:val="00BD2F19"/>
    <w:rsid w:val="00BD74C9"/>
    <w:rsid w:val="00BE3E46"/>
    <w:rsid w:val="00BF142F"/>
    <w:rsid w:val="00BF59CE"/>
    <w:rsid w:val="00BF6966"/>
    <w:rsid w:val="00C1406B"/>
    <w:rsid w:val="00C216DD"/>
    <w:rsid w:val="00C24833"/>
    <w:rsid w:val="00C409B2"/>
    <w:rsid w:val="00C43A39"/>
    <w:rsid w:val="00C504D6"/>
    <w:rsid w:val="00C51255"/>
    <w:rsid w:val="00C53766"/>
    <w:rsid w:val="00C538D4"/>
    <w:rsid w:val="00C543FD"/>
    <w:rsid w:val="00C56E54"/>
    <w:rsid w:val="00C61DD4"/>
    <w:rsid w:val="00C62030"/>
    <w:rsid w:val="00C63CC1"/>
    <w:rsid w:val="00C63D63"/>
    <w:rsid w:val="00C64789"/>
    <w:rsid w:val="00C655FB"/>
    <w:rsid w:val="00C76B7E"/>
    <w:rsid w:val="00C81628"/>
    <w:rsid w:val="00C829CF"/>
    <w:rsid w:val="00C83A99"/>
    <w:rsid w:val="00C8493E"/>
    <w:rsid w:val="00C85CDB"/>
    <w:rsid w:val="00C91C75"/>
    <w:rsid w:val="00C966B6"/>
    <w:rsid w:val="00CA1FC8"/>
    <w:rsid w:val="00CB1610"/>
    <w:rsid w:val="00CB2484"/>
    <w:rsid w:val="00CB396F"/>
    <w:rsid w:val="00CD388B"/>
    <w:rsid w:val="00CD42DC"/>
    <w:rsid w:val="00CD6913"/>
    <w:rsid w:val="00CE0DB6"/>
    <w:rsid w:val="00CE162F"/>
    <w:rsid w:val="00CE26BD"/>
    <w:rsid w:val="00CE5AB0"/>
    <w:rsid w:val="00CE6D48"/>
    <w:rsid w:val="00D03DFB"/>
    <w:rsid w:val="00D04BA5"/>
    <w:rsid w:val="00D164DE"/>
    <w:rsid w:val="00D16F9A"/>
    <w:rsid w:val="00D17106"/>
    <w:rsid w:val="00D21EFA"/>
    <w:rsid w:val="00D241D5"/>
    <w:rsid w:val="00D327C4"/>
    <w:rsid w:val="00D34BB2"/>
    <w:rsid w:val="00D518AB"/>
    <w:rsid w:val="00D531DC"/>
    <w:rsid w:val="00D60B83"/>
    <w:rsid w:val="00D60D84"/>
    <w:rsid w:val="00D60E93"/>
    <w:rsid w:val="00D70F66"/>
    <w:rsid w:val="00D76ECC"/>
    <w:rsid w:val="00D77905"/>
    <w:rsid w:val="00D81A64"/>
    <w:rsid w:val="00D81BEE"/>
    <w:rsid w:val="00D97DA6"/>
    <w:rsid w:val="00DA1DFC"/>
    <w:rsid w:val="00DB57A0"/>
    <w:rsid w:val="00DC0890"/>
    <w:rsid w:val="00DC66B0"/>
    <w:rsid w:val="00DC769C"/>
    <w:rsid w:val="00E02152"/>
    <w:rsid w:val="00E20659"/>
    <w:rsid w:val="00E24C4D"/>
    <w:rsid w:val="00E3303D"/>
    <w:rsid w:val="00E3524C"/>
    <w:rsid w:val="00E422FF"/>
    <w:rsid w:val="00E51929"/>
    <w:rsid w:val="00E63B10"/>
    <w:rsid w:val="00E760EE"/>
    <w:rsid w:val="00E800A7"/>
    <w:rsid w:val="00E86566"/>
    <w:rsid w:val="00E902FE"/>
    <w:rsid w:val="00E9744F"/>
    <w:rsid w:val="00EA0298"/>
    <w:rsid w:val="00EA077F"/>
    <w:rsid w:val="00EA6DC7"/>
    <w:rsid w:val="00EB07D7"/>
    <w:rsid w:val="00EB0C85"/>
    <w:rsid w:val="00EB62D7"/>
    <w:rsid w:val="00EC150D"/>
    <w:rsid w:val="00EC7065"/>
    <w:rsid w:val="00ED2A9D"/>
    <w:rsid w:val="00ED2EDF"/>
    <w:rsid w:val="00ED60FF"/>
    <w:rsid w:val="00ED6CA5"/>
    <w:rsid w:val="00F0032D"/>
    <w:rsid w:val="00F03AF3"/>
    <w:rsid w:val="00F05403"/>
    <w:rsid w:val="00F05F93"/>
    <w:rsid w:val="00F0793D"/>
    <w:rsid w:val="00F07DE4"/>
    <w:rsid w:val="00F15801"/>
    <w:rsid w:val="00F17F44"/>
    <w:rsid w:val="00F20E60"/>
    <w:rsid w:val="00F25CE3"/>
    <w:rsid w:val="00F33A83"/>
    <w:rsid w:val="00F33DA2"/>
    <w:rsid w:val="00F34ACC"/>
    <w:rsid w:val="00F41429"/>
    <w:rsid w:val="00F44450"/>
    <w:rsid w:val="00F447E9"/>
    <w:rsid w:val="00F479F3"/>
    <w:rsid w:val="00F56960"/>
    <w:rsid w:val="00F57ECC"/>
    <w:rsid w:val="00F60E3F"/>
    <w:rsid w:val="00F631F9"/>
    <w:rsid w:val="00F6425E"/>
    <w:rsid w:val="00F64AFC"/>
    <w:rsid w:val="00F733B2"/>
    <w:rsid w:val="00F771B5"/>
    <w:rsid w:val="00F77C19"/>
    <w:rsid w:val="00F95D65"/>
    <w:rsid w:val="00F96FFE"/>
    <w:rsid w:val="00FA6581"/>
    <w:rsid w:val="00FB2FFE"/>
    <w:rsid w:val="00FC2DC3"/>
    <w:rsid w:val="00FC5F6E"/>
    <w:rsid w:val="00FD2FC7"/>
    <w:rsid w:val="00FE2FF9"/>
    <w:rsid w:val="00FE76DD"/>
    <w:rsid w:val="00FF196D"/>
    <w:rsid w:val="00FF4BEE"/>
    <w:rsid w:val="00FF619B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DFC9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AE24DB"/>
  </w:style>
  <w:style w:type="paragraph" w:styleId="Titolo4">
    <w:name w:val="heading 4"/>
    <w:basedOn w:val="Normale"/>
    <w:next w:val="Normale"/>
    <w:link w:val="Titolo4Carattere"/>
    <w:qFormat/>
    <w:rsid w:val="00D70F66"/>
    <w:pPr>
      <w:keepNext/>
      <w:spacing w:after="0" w:line="240" w:lineRule="auto"/>
      <w:outlineLvl w:val="3"/>
    </w:pPr>
    <w:rPr>
      <w:rFonts w:ascii="Garamond" w:eastAsia="Times New Roman" w:hAnsi="Garamond" w:cs="Times New Roman"/>
      <w:b/>
      <w:bCs/>
      <w:sz w:val="18"/>
      <w:szCs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6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66ED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nhideWhenUsed/>
    <w:rsid w:val="004717A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1514E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242B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2B1C"/>
  </w:style>
  <w:style w:type="paragraph" w:styleId="Pidipagina">
    <w:name w:val="footer"/>
    <w:basedOn w:val="Normale"/>
    <w:link w:val="PidipaginaCarattere"/>
    <w:uiPriority w:val="99"/>
    <w:unhideWhenUsed/>
    <w:rsid w:val="00242B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2B1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430F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430F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430F1"/>
    <w:rPr>
      <w:vertAlign w:val="superscript"/>
    </w:rPr>
  </w:style>
  <w:style w:type="character" w:styleId="Numeropagina">
    <w:name w:val="page number"/>
    <w:basedOn w:val="Carpredefinitoparagrafo"/>
    <w:uiPriority w:val="99"/>
    <w:semiHidden/>
    <w:unhideWhenUsed/>
    <w:rsid w:val="009D7566"/>
  </w:style>
  <w:style w:type="character" w:customStyle="1" w:styleId="apple-converted-space">
    <w:name w:val="apple-converted-space"/>
    <w:basedOn w:val="Carpredefinitoparagrafo"/>
    <w:rsid w:val="00644AE2"/>
  </w:style>
  <w:style w:type="character" w:styleId="Rimandocommento">
    <w:name w:val="annotation reference"/>
    <w:basedOn w:val="Carpredefinitoparagrafo"/>
    <w:uiPriority w:val="99"/>
    <w:semiHidden/>
    <w:unhideWhenUsed/>
    <w:rsid w:val="00D81A6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81A6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81A6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81A6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81A64"/>
    <w:rPr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B56C18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rsid w:val="006C518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1F46"/>
    <w:rPr>
      <w:color w:val="800080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rsid w:val="00D70F66"/>
    <w:rPr>
      <w:rFonts w:ascii="Garamond" w:eastAsia="Times New Roman" w:hAnsi="Garamond" w:cs="Times New Roman"/>
      <w:b/>
      <w:bCs/>
      <w:sz w:val="18"/>
      <w:szCs w:val="20"/>
      <w:lang w:eastAsia="it-IT" w:bidi="he-IL"/>
    </w:rPr>
  </w:style>
  <w:style w:type="table" w:styleId="Grigliatabella">
    <w:name w:val="Table Grid"/>
    <w:basedOn w:val="Tabellanormale"/>
    <w:uiPriority w:val="59"/>
    <w:rsid w:val="00353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rsid w:val="009B54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4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elenergia.it/librobianco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www.youtube.com/user/AIELAgripolis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energiadallegno.it/" TargetMode="External"/><Relationship Id="rId17" Type="http://schemas.openxmlformats.org/officeDocument/2006/relationships/image" Target="media/image6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AIELagroenergia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energiadallegno.it/blog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2BDBC-6BA0-1444-819D-235B486C1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1108</Words>
  <Characters>6317</Characters>
  <Application>Microsoft Office Word</Application>
  <DocSecurity>0</DocSecurity>
  <Lines>52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19</vt:i4>
      </vt:variant>
    </vt:vector>
  </HeadingPairs>
  <TitlesOfParts>
    <vt:vector size="20" baseType="lpstr">
      <vt:lpstr/>
      <vt:lpstr>16/02/2021</vt:lpstr>
      <vt:lpstr>Il futuro del riscaldamento a legna e pellet</vt:lpstr>
      <vt:lpstr>UN LIBRO BIANCO SUL FUTURO DEL RISCALDAMENTO A LEGNA E PELLET </vt:lpstr>
      <vt:lpstr>IL PROBLEMA: POLVERI SOTTILI E RISCALDAMENTO DOMESTICO A BIOMASSE</vt:lpstr>
      <vt:lpstr>LA SOLUZIONE: ROTTAMARE ED EDUCARE</vt:lpstr>
      <vt:lpstr/>
      <vt:lpstr>/</vt:lpstr>
      <vt:lpstr>figura 2. Le stime di AIEL sugli effetti di turn over tecnologico e informazione</vt:lpstr>
      <vt:lpstr/>
      <vt:lpstr>I PRIMI RISULTATI</vt:lpstr>
      <vt:lpstr>In Italia già nel corso dell’ultimo decennio il livello prestazionale e tecnolog</vt:lpstr>
      <vt:lpstr/>
      <vt:lpstr>/</vt:lpstr>
      <vt:lpstr/>
      <vt:lpstr>GLI STRUMENTI PER RAGGIUNGERE L’OBIETTIVO</vt:lpstr>
      <vt:lpstr/>
      <vt:lpstr>/</vt:lpstr>
      <vt:lpstr>figura 5. Stime della riduzione di PM10 derivante dalle azioni proposte</vt:lpstr>
      <vt:lpstr>Contact </vt:lpstr>
    </vt:vector>
  </TitlesOfParts>
  <Company/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Unamuda</dc:creator>
  <cp:keywords/>
  <dc:description/>
  <cp:lastModifiedBy> </cp:lastModifiedBy>
  <cp:revision>11</cp:revision>
  <cp:lastPrinted>2021-02-24T13:33:00Z</cp:lastPrinted>
  <dcterms:created xsi:type="dcterms:W3CDTF">2021-02-28T16:08:00Z</dcterms:created>
  <dcterms:modified xsi:type="dcterms:W3CDTF">2021-03-01T08:50:00Z</dcterms:modified>
</cp:coreProperties>
</file>